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6F66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0"/>
          <w:szCs w:val="40"/>
        </w:rPr>
      </w:pPr>
      <w:r>
        <w:rPr>
          <w:rFonts w:hint="eastAsia" w:ascii="方正小标宋简体" w:hAnsi="方正小标宋简体" w:eastAsia="方正小标宋简体" w:cs="方正小标宋简体"/>
          <w:b w:val="0"/>
          <w:bCs/>
          <w:sz w:val="40"/>
          <w:szCs w:val="40"/>
        </w:rPr>
        <w:t>关于做好我校202</w:t>
      </w:r>
      <w:r>
        <w:rPr>
          <w:rFonts w:hint="eastAsia" w:ascii="方正小标宋简体" w:hAnsi="方正小标宋简体" w:eastAsia="方正小标宋简体" w:cs="方正小标宋简体"/>
          <w:b w:val="0"/>
          <w:bCs/>
          <w:sz w:val="40"/>
          <w:szCs w:val="40"/>
          <w:lang w:val="en-US" w:eastAsia="zh-CN"/>
        </w:rPr>
        <w:t>6届</w:t>
      </w:r>
      <w:r>
        <w:rPr>
          <w:rFonts w:hint="eastAsia" w:ascii="方正小标宋简体" w:hAnsi="方正小标宋简体" w:eastAsia="方正小标宋简体" w:cs="方正小标宋简体"/>
          <w:b w:val="0"/>
          <w:bCs/>
          <w:sz w:val="40"/>
          <w:szCs w:val="40"/>
        </w:rPr>
        <w:t>毕业生</w:t>
      </w:r>
      <w:r>
        <w:rPr>
          <w:rFonts w:hint="eastAsia" w:ascii="方正小标宋简体" w:hAnsi="方正小标宋简体" w:eastAsia="方正小标宋简体" w:cs="方正小标宋简体"/>
          <w:b w:val="0"/>
          <w:bCs/>
          <w:sz w:val="40"/>
          <w:szCs w:val="40"/>
          <w:lang w:val="en-US" w:eastAsia="zh-CN"/>
        </w:rPr>
        <w:t>专升本</w:t>
      </w:r>
      <w:r>
        <w:rPr>
          <w:rFonts w:hint="eastAsia" w:ascii="方正小标宋简体" w:hAnsi="方正小标宋简体" w:eastAsia="方正小标宋简体" w:cs="方正小标宋简体"/>
          <w:b w:val="0"/>
          <w:bCs/>
          <w:sz w:val="40"/>
          <w:szCs w:val="40"/>
        </w:rPr>
        <w:t>考试</w:t>
      </w:r>
    </w:p>
    <w:p w14:paraId="01B89E4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 w:hAnsi="仿宋" w:eastAsia="仿宋"/>
          <w:bCs/>
          <w:sz w:val="40"/>
          <w:szCs w:val="40"/>
        </w:rPr>
      </w:pPr>
      <w:r>
        <w:rPr>
          <w:rFonts w:hint="eastAsia" w:ascii="方正小标宋简体" w:hAnsi="方正小标宋简体" w:eastAsia="方正小标宋简体" w:cs="方正小标宋简体"/>
          <w:b w:val="0"/>
          <w:bCs/>
          <w:sz w:val="40"/>
          <w:szCs w:val="40"/>
        </w:rPr>
        <w:t>报</w:t>
      </w:r>
      <w:r>
        <w:rPr>
          <w:rFonts w:hint="eastAsia" w:ascii="方正小标宋简体" w:hAnsi="方正小标宋简体" w:eastAsia="方正小标宋简体" w:cs="方正小标宋简体"/>
          <w:b w:val="0"/>
          <w:bCs/>
          <w:sz w:val="40"/>
          <w:szCs w:val="40"/>
          <w:lang w:val="en-US" w:eastAsia="zh-CN"/>
        </w:rPr>
        <w:t>名</w:t>
      </w:r>
      <w:r>
        <w:rPr>
          <w:rFonts w:hint="eastAsia" w:ascii="方正小标宋简体" w:hAnsi="方正小标宋简体" w:eastAsia="方正小标宋简体" w:cs="方正小标宋简体"/>
          <w:b w:val="0"/>
          <w:bCs/>
          <w:sz w:val="40"/>
          <w:szCs w:val="40"/>
        </w:rPr>
        <w:t>工作的通知</w:t>
      </w:r>
    </w:p>
    <w:p w14:paraId="199CEF43">
      <w:pPr>
        <w:pStyle w:val="23"/>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各二级学院：</w:t>
      </w:r>
    </w:p>
    <w:p w14:paraId="5037B6C4">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en-US" w:eastAsia="zh-CN"/>
        </w:rPr>
        <w:t>湖南省教育厅《关于做好2026年湖南省普通高等学校专升本考试招生工作的通知（湘教发〔2026〕5号）》（附件1）和湖南省教育考试院《关于做好2026年普通高校专升本考试招生报</w:t>
      </w:r>
      <w:r>
        <w:rPr>
          <w:rFonts w:hint="eastAsia" w:ascii="仿宋_GB2312" w:hAnsi="仿宋_GB2312" w:eastAsia="仿宋_GB2312" w:cs="仿宋_GB2312"/>
          <w:sz w:val="32"/>
          <w:szCs w:val="32"/>
        </w:rPr>
        <w:t>名工作的通知（湘教考成字〔2026〕1号）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（附件2）</w:t>
      </w:r>
      <w:r>
        <w:rPr>
          <w:rFonts w:hint="eastAsia" w:ascii="仿宋_GB2312" w:hAnsi="仿宋_GB2312" w:eastAsia="仿宋_GB2312" w:cs="仿宋_GB2312"/>
          <w:sz w:val="32"/>
          <w:szCs w:val="32"/>
          <w:lang w:val="en-US" w:eastAsia="zh-CN"/>
        </w:rPr>
        <w:t>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并结合我校实际，</w:t>
      </w:r>
      <w:r>
        <w:rPr>
          <w:rFonts w:hint="eastAsia" w:ascii="仿宋_GB2312" w:hAnsi="仿宋_GB2312" w:eastAsia="仿宋_GB2312" w:cs="仿宋_GB2312"/>
          <w:sz w:val="32"/>
          <w:szCs w:val="32"/>
        </w:rPr>
        <w:t>现就做好</w:t>
      </w:r>
      <w:r>
        <w:rPr>
          <w:rFonts w:hint="eastAsia" w:ascii="仿宋_GB2312" w:hAnsi="仿宋_GB2312" w:eastAsia="仿宋_GB2312" w:cs="仿宋_GB2312"/>
          <w:sz w:val="32"/>
          <w:szCs w:val="32"/>
          <w:lang w:val="en-US" w:eastAsia="zh-CN"/>
        </w:rPr>
        <w:t>2026届毕业生</w:t>
      </w:r>
      <w:r>
        <w:rPr>
          <w:rFonts w:hint="eastAsia" w:ascii="仿宋_GB2312" w:hAnsi="仿宋_GB2312" w:eastAsia="仿宋_GB2312" w:cs="仿宋_GB2312"/>
          <w:sz w:val="32"/>
          <w:szCs w:val="32"/>
          <w:lang w:eastAsia="zh-CN"/>
        </w:rPr>
        <w:t>专升本</w:t>
      </w:r>
      <w:r>
        <w:rPr>
          <w:rFonts w:hint="eastAsia" w:ascii="仿宋_GB2312" w:hAnsi="仿宋_GB2312" w:eastAsia="仿宋_GB2312" w:cs="仿宋_GB2312"/>
          <w:sz w:val="32"/>
          <w:szCs w:val="32"/>
        </w:rPr>
        <w:t>考试报名</w:t>
      </w:r>
      <w:r>
        <w:rPr>
          <w:rFonts w:hint="eastAsia" w:ascii="仿宋_GB2312" w:hAnsi="仿宋_GB2312" w:eastAsia="仿宋_GB2312" w:cs="仿宋_GB2312"/>
          <w:sz w:val="32"/>
          <w:szCs w:val="32"/>
          <w:lang w:val="en-US" w:eastAsia="zh-CN"/>
        </w:rPr>
        <w:t>有关</w:t>
      </w:r>
      <w:r>
        <w:rPr>
          <w:rFonts w:hint="eastAsia" w:ascii="仿宋_GB2312" w:hAnsi="仿宋_GB2312" w:eastAsia="仿宋_GB2312" w:cs="仿宋_GB2312"/>
          <w:sz w:val="32"/>
          <w:szCs w:val="32"/>
        </w:rPr>
        <w:t>工作通知如下</w:t>
      </w:r>
      <w:r>
        <w:rPr>
          <w:rFonts w:hint="eastAsia" w:ascii="仿宋_GB2312" w:hAnsi="仿宋_GB2312" w:eastAsia="仿宋_GB2312" w:cs="仿宋_GB2312"/>
          <w:sz w:val="32"/>
          <w:szCs w:val="32"/>
          <w:lang w:val="en-US" w:eastAsia="zh-CN"/>
        </w:rPr>
        <w:t>。</w:t>
      </w:r>
    </w:p>
    <w:p w14:paraId="38BBA0EA">
      <w:pPr>
        <w:keepNext w:val="0"/>
        <w:keepLines w:val="0"/>
        <w:pageBreakBefore w:val="0"/>
        <w:widowControl w:val="0"/>
        <w:numPr>
          <w:ilvl w:val="0"/>
          <w:numId w:val="1"/>
        </w:numPr>
        <w:kinsoku/>
        <w:wordWrap/>
        <w:overflowPunct/>
        <w:topLinePunct w:val="0"/>
        <w:autoSpaceDE/>
        <w:autoSpaceDN/>
        <w:bidi w:val="0"/>
        <w:adjustRightInd/>
        <w:snapToGrid/>
        <w:spacing w:before="120" w:line="50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报名条件</w:t>
      </w:r>
    </w:p>
    <w:p w14:paraId="01D60718">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报名参加湖南省普通高校专升本招生考试的考生（含免试生）应符合下列条件:</w:t>
      </w:r>
    </w:p>
    <w:p w14:paraId="4EB362E6">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（一）遵纪守法，身体状况符合相关要求；</w:t>
      </w:r>
    </w:p>
    <w:p w14:paraId="6AC1BC23">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（二）2026年6月30日前能取得毕业证书的应届毕业生（以学信网学历证书电子注册信息为准）；符合退役大学生免试计划报考资格的应、往届退役大学生（见下第二点“招生计划”）。</w:t>
      </w:r>
    </w:p>
    <w:p w14:paraId="0E80BA04">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（三）下列人员不得报名：</w:t>
      </w:r>
    </w:p>
    <w:p w14:paraId="3456017F">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1.在校及入伍期间受到记过及以上纪律处分，且在报名前还没有解除处分的。</w:t>
      </w:r>
    </w:p>
    <w:p w14:paraId="01B2B6B6">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2.因触犯刑法已被有关部门采取强制措施或正在服刑者；因违反国家教育考试规定被给予暂停参加高校招生考试处理且仍处于停考期的。</w:t>
      </w:r>
    </w:p>
    <w:p w14:paraId="0F22BAC0">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3.已参加了上年度的专升本考试又延期毕业再次报考的考生，上年度已被退役免试计划录取的考生（含录取未报到、放弃录取资格的考生）。</w:t>
      </w:r>
    </w:p>
    <w:p w14:paraId="27697E26">
      <w:pPr>
        <w:keepNext w:val="0"/>
        <w:keepLines w:val="0"/>
        <w:pageBreakBefore w:val="0"/>
        <w:widowControl w:val="0"/>
        <w:numPr>
          <w:ilvl w:val="0"/>
          <w:numId w:val="1"/>
        </w:numPr>
        <w:kinsoku/>
        <w:wordWrap/>
        <w:overflowPunct/>
        <w:topLinePunct w:val="0"/>
        <w:autoSpaceDE/>
        <w:autoSpaceDN/>
        <w:bidi w:val="0"/>
        <w:adjustRightInd/>
        <w:snapToGrid/>
        <w:spacing w:before="120" w:line="50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招生计划</w:t>
      </w:r>
    </w:p>
    <w:p w14:paraId="7B073530">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专升本考试招生计划分为以下几种类型：</w:t>
      </w:r>
    </w:p>
    <w:p w14:paraId="59AEEF33">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（一）普通计划。</w:t>
      </w:r>
      <w:r>
        <w:rPr>
          <w:rFonts w:hint="eastAsia" w:ascii="仿宋_GB2312" w:hAnsi="仿宋_GB2312" w:eastAsia="仿宋_GB2312" w:cs="仿宋_GB2312"/>
          <w:sz w:val="32"/>
          <w:szCs w:val="32"/>
          <w:lang w:val="en-US" w:eastAsia="zh-CN"/>
        </w:rPr>
        <w:t>仅面向我省2026届普通高校全日制专科毕业生。其中，在巩固拓展脱贫攻坚成果同乡村振兴有效衔接过渡期内继续实施脱贫计划，安排适量招生计划招收脱贫家庭的学生。</w:t>
      </w:r>
    </w:p>
    <w:p w14:paraId="0944599C">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（二）免试计划。</w:t>
      </w:r>
      <w:r>
        <w:rPr>
          <w:rFonts w:hint="eastAsia" w:ascii="仿宋_GB2312" w:hAnsi="仿宋_GB2312" w:eastAsia="仿宋_GB2312" w:cs="仿宋_GB2312"/>
          <w:sz w:val="32"/>
          <w:szCs w:val="32"/>
          <w:lang w:val="en-US" w:eastAsia="zh-CN"/>
        </w:rPr>
        <w:t>分为退役大学生免试计划（简称退役免试计划）及竞赛获奖学生免试计划（简称竞赛免试计划）。各高校免试计划单独下达，符合报考资格的考生</w:t>
      </w:r>
      <w:r>
        <w:rPr>
          <w:rFonts w:hint="eastAsia" w:ascii="仿宋" w:hAnsi="仿宋" w:eastAsia="仿宋" w:cs="仿宋"/>
          <w:b/>
          <w:bCs/>
          <w:color w:val="FF0000"/>
          <w:sz w:val="32"/>
          <w:szCs w:val="32"/>
          <w:lang w:val="en-US" w:eastAsia="zh-CN"/>
        </w:rPr>
        <w:t>只能选择其中一类报考。</w:t>
      </w:r>
    </w:p>
    <w:p w14:paraId="64519E54">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1.退役免试计划。</w:t>
      </w:r>
      <w:r>
        <w:rPr>
          <w:rFonts w:hint="eastAsia" w:ascii="仿宋_GB2312" w:hAnsi="仿宋_GB2312" w:eastAsia="仿宋_GB2312" w:cs="仿宋_GB2312"/>
          <w:sz w:val="32"/>
          <w:szCs w:val="32"/>
          <w:lang w:val="en-US" w:eastAsia="zh-CN"/>
        </w:rPr>
        <w:t>符合下列条件之一的退役军人大学生可报考：①我省普通高校全日制专科毕业生应征入伍并退役的大学生；②我省普通高校全日制专科在校生（含新生）应征入伍退役后复学，继续完成学业并取得全日制专科学历的毕业生（退役后重新参加高考录取取得其他学校的学历除外）；③具有我省户籍的外省普通高校全日制专科在校生（含新生）或毕业生在我省应征入伍并取得本校普通全日制专科学历的退役军人大学生。退役免试计划报考具体办法见《湖南省2026年普通高校专升本退役军人大学生免试录取实施办法》（附件2）。</w:t>
      </w:r>
    </w:p>
    <w:p w14:paraId="2D182DCD">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2.竞赛免试计划。</w:t>
      </w:r>
      <w:r>
        <w:rPr>
          <w:rFonts w:hint="eastAsia" w:ascii="仿宋_GB2312" w:hAnsi="仿宋_GB2312" w:eastAsia="仿宋_GB2312" w:cs="仿宋_GB2312"/>
          <w:sz w:val="32"/>
          <w:szCs w:val="32"/>
          <w:lang w:val="en-US" w:eastAsia="zh-CN"/>
        </w:rPr>
        <w:t>我省2026届普通高校全日制专科毕业生在校期间（截止到2026年3月10日前）获得下列竞赛奖项之一的可报考：①获得世界技能大赛、世界职业院校技能大赛总决赛争夺赛、中华人民共和国职业技能大赛和全国职业院校技能大赛一、二、三等奖（金、银、铜奖），全省职业院校技能竞赛、湖南省第二届职业技能大赛一等奖（金奖）；②获得中国国际大学生创新大赛（原中国国际“互联网+”大学生创新创业大赛）金奖和银奖的所有团队成员、铜奖排名前三的团队成员。</w:t>
      </w:r>
    </w:p>
    <w:p w14:paraId="51C3E350">
      <w:pPr>
        <w:keepNext w:val="0"/>
        <w:keepLines w:val="0"/>
        <w:pageBreakBefore w:val="0"/>
        <w:widowControl w:val="0"/>
        <w:numPr>
          <w:ilvl w:val="0"/>
          <w:numId w:val="1"/>
        </w:numPr>
        <w:kinsoku/>
        <w:wordWrap/>
        <w:overflowPunct/>
        <w:topLinePunct w:val="0"/>
        <w:autoSpaceDE/>
        <w:autoSpaceDN/>
        <w:bidi w:val="0"/>
        <w:adjustRightInd/>
        <w:snapToGrid/>
        <w:spacing w:before="120" w:line="50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报名流程</w:t>
      </w:r>
    </w:p>
    <w:p w14:paraId="19A2331E">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符合报名条件的所有考生，在规定时间内通过“湖南省普通高等学校专升本考试信息管理平台”（以下简称“专升本平台”）提供的“潇湘专升本”APP（从https://zsb.hneao.cn/ks页面扫码下载）自行完成注册、报名信息填报、考试缴费和志愿填报，具体流程及要求如下：</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37"/>
        <w:gridCol w:w="1230"/>
        <w:gridCol w:w="1770"/>
        <w:gridCol w:w="4860"/>
        <w:gridCol w:w="917"/>
      </w:tblGrid>
      <w:tr w14:paraId="64AFA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tblHeader/>
          <w:jc w:val="center"/>
        </w:trPr>
        <w:tc>
          <w:tcPr>
            <w:tcW w:w="737" w:type="dxa"/>
            <w:vAlign w:val="center"/>
          </w:tcPr>
          <w:p w14:paraId="671B6820">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2"/>
                <w:szCs w:val="22"/>
                <w:vertAlign w:val="baseline"/>
                <w:lang w:val="en-US" w:eastAsia="zh-CN"/>
              </w:rPr>
              <w:t>序号</w:t>
            </w:r>
          </w:p>
        </w:tc>
        <w:tc>
          <w:tcPr>
            <w:tcW w:w="1230" w:type="dxa"/>
            <w:vAlign w:val="center"/>
          </w:tcPr>
          <w:p w14:paraId="6AE37D94">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工作内容</w:t>
            </w:r>
          </w:p>
        </w:tc>
        <w:tc>
          <w:tcPr>
            <w:tcW w:w="1770" w:type="dxa"/>
            <w:vAlign w:val="center"/>
          </w:tcPr>
          <w:p w14:paraId="02ADB08C">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完成时间</w:t>
            </w:r>
          </w:p>
        </w:tc>
        <w:tc>
          <w:tcPr>
            <w:tcW w:w="4860" w:type="dxa"/>
            <w:vAlign w:val="center"/>
          </w:tcPr>
          <w:p w14:paraId="00789275">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具体要求</w:t>
            </w:r>
          </w:p>
        </w:tc>
        <w:tc>
          <w:tcPr>
            <w:tcW w:w="917" w:type="dxa"/>
            <w:vAlign w:val="center"/>
          </w:tcPr>
          <w:p w14:paraId="7A9BA76F">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bCs/>
                <w:sz w:val="24"/>
                <w:szCs w:val="24"/>
                <w:vertAlign w:val="baseline"/>
                <w:lang w:val="en-US" w:eastAsia="zh-CN"/>
              </w:rPr>
            </w:pPr>
            <w:r>
              <w:rPr>
                <w:rFonts w:hint="eastAsia" w:asciiTheme="minorEastAsia" w:hAnsiTheme="minorEastAsia" w:eastAsiaTheme="minorEastAsia" w:cstheme="minorEastAsia"/>
                <w:b/>
                <w:bCs/>
                <w:sz w:val="22"/>
                <w:szCs w:val="22"/>
                <w:vertAlign w:val="baseline"/>
                <w:lang w:val="en-US" w:eastAsia="zh-CN"/>
              </w:rPr>
              <w:t>完成人</w:t>
            </w:r>
          </w:p>
        </w:tc>
      </w:tr>
      <w:tr w14:paraId="05574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145" w:hRule="atLeast"/>
          <w:jc w:val="center"/>
        </w:trPr>
        <w:tc>
          <w:tcPr>
            <w:tcW w:w="737" w:type="dxa"/>
            <w:vAlign w:val="center"/>
          </w:tcPr>
          <w:p w14:paraId="388B5CFE">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vAlign w:val="center"/>
          </w:tcPr>
          <w:p w14:paraId="3C0FC2C3">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考生信息导入</w:t>
            </w:r>
          </w:p>
        </w:tc>
        <w:tc>
          <w:tcPr>
            <w:tcW w:w="1770" w:type="dxa"/>
            <w:vAlign w:val="center"/>
          </w:tcPr>
          <w:p w14:paraId="2F8C3454">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2月10日前</w:t>
            </w:r>
          </w:p>
        </w:tc>
        <w:tc>
          <w:tcPr>
            <w:tcW w:w="4860" w:type="dxa"/>
            <w:vAlign w:val="center"/>
          </w:tcPr>
          <w:p w14:paraId="3EC8AF74">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学校将202</w:t>
            </w:r>
            <w:r>
              <w:rPr>
                <w:rFonts w:hint="eastAsia" w:asciiTheme="minorEastAsia" w:hAnsiTheme="minorEastAsia" w:cstheme="minorEastAsia"/>
                <w:sz w:val="24"/>
                <w:szCs w:val="24"/>
                <w:vertAlign w:val="baseline"/>
                <w:lang w:val="en-US" w:eastAsia="zh-CN"/>
              </w:rPr>
              <w:t>6</w:t>
            </w:r>
            <w:r>
              <w:rPr>
                <w:rFonts w:hint="eastAsia" w:asciiTheme="minorEastAsia" w:hAnsiTheme="minorEastAsia" w:eastAsiaTheme="minorEastAsia" w:cstheme="minorEastAsia"/>
                <w:sz w:val="24"/>
                <w:szCs w:val="24"/>
                <w:vertAlign w:val="baseline"/>
                <w:lang w:val="en-US" w:eastAsia="zh-CN"/>
              </w:rPr>
              <w:t>届毕业生的学籍和照片</w:t>
            </w:r>
            <w:r>
              <w:rPr>
                <w:rFonts w:hint="eastAsia" w:asciiTheme="minorEastAsia" w:hAnsiTheme="minorEastAsia" w:cstheme="minorEastAsia"/>
                <w:sz w:val="24"/>
                <w:szCs w:val="24"/>
                <w:vertAlign w:val="baseline"/>
                <w:lang w:val="en-US" w:eastAsia="zh-CN"/>
              </w:rPr>
              <w:t>等信息</w:t>
            </w:r>
            <w:r>
              <w:rPr>
                <w:rFonts w:hint="eastAsia" w:asciiTheme="minorEastAsia" w:hAnsiTheme="minorEastAsia" w:eastAsiaTheme="minorEastAsia" w:cstheme="minorEastAsia"/>
                <w:sz w:val="24"/>
                <w:szCs w:val="24"/>
                <w:vertAlign w:val="baseline"/>
                <w:lang w:val="en-US" w:eastAsia="zh-CN"/>
              </w:rPr>
              <w:t>导入专升本平</w:t>
            </w:r>
            <w:r>
              <w:rPr>
                <w:rFonts w:hint="eastAsia" w:asciiTheme="minorEastAsia" w:hAnsiTheme="minorEastAsia" w:eastAsiaTheme="minorEastAsia" w:cstheme="minorEastAsia"/>
                <w:b w:val="0"/>
                <w:bCs w:val="0"/>
                <w:sz w:val="24"/>
                <w:szCs w:val="24"/>
                <w:vertAlign w:val="baseline"/>
                <w:lang w:val="en-US" w:eastAsia="zh-CN"/>
              </w:rPr>
              <w:t>台</w:t>
            </w:r>
            <w:r>
              <w:rPr>
                <w:rFonts w:hint="eastAsia" w:asciiTheme="minorEastAsia" w:hAnsiTheme="minorEastAsia" w:cstheme="minorEastAsia"/>
                <w:b w:val="0"/>
                <w:bCs w:val="0"/>
                <w:sz w:val="24"/>
                <w:szCs w:val="24"/>
                <w:vertAlign w:val="baseline"/>
                <w:lang w:val="en-US" w:eastAsia="zh-CN"/>
              </w:rPr>
              <w:t>，照片采用</w:t>
            </w:r>
            <w:r>
              <w:rPr>
                <w:rFonts w:hint="eastAsia" w:asciiTheme="minorEastAsia" w:hAnsiTheme="minorEastAsia" w:eastAsiaTheme="minorEastAsia" w:cstheme="minorEastAsia"/>
                <w:b w:val="0"/>
                <w:bCs w:val="0"/>
                <w:sz w:val="24"/>
                <w:szCs w:val="24"/>
                <w:vertAlign w:val="baseline"/>
                <w:lang w:val="en-US" w:eastAsia="zh-CN"/>
              </w:rPr>
              <w:t>毕业生图像采集</w:t>
            </w:r>
            <w:r>
              <w:rPr>
                <w:rFonts w:hint="eastAsia" w:asciiTheme="minorEastAsia" w:hAnsiTheme="minorEastAsia" w:cstheme="minorEastAsia"/>
                <w:b w:val="0"/>
                <w:bCs w:val="0"/>
                <w:sz w:val="24"/>
                <w:szCs w:val="24"/>
                <w:vertAlign w:val="baseline"/>
                <w:lang w:val="en-US" w:eastAsia="zh-CN"/>
              </w:rPr>
              <w:t>的照片</w:t>
            </w:r>
            <w:r>
              <w:rPr>
                <w:rFonts w:hint="eastAsia" w:asciiTheme="minorEastAsia" w:hAnsiTheme="minorEastAsia" w:eastAsiaTheme="minorEastAsia" w:cstheme="minorEastAsia"/>
                <w:b w:val="0"/>
                <w:bCs w:val="0"/>
                <w:sz w:val="24"/>
                <w:szCs w:val="24"/>
                <w:vertAlign w:val="baseline"/>
                <w:lang w:val="en-US" w:eastAsia="zh-CN"/>
              </w:rPr>
              <w:t>。</w:t>
            </w:r>
          </w:p>
        </w:tc>
        <w:tc>
          <w:tcPr>
            <w:tcW w:w="917" w:type="dxa"/>
            <w:vAlign w:val="center"/>
          </w:tcPr>
          <w:p w14:paraId="5233E5EC">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教务处</w:t>
            </w:r>
          </w:p>
        </w:tc>
      </w:tr>
      <w:tr w14:paraId="63B7C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77C1B631">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vAlign w:val="center"/>
          </w:tcPr>
          <w:p w14:paraId="2AADE746">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考生注册报名</w:t>
            </w:r>
          </w:p>
        </w:tc>
        <w:tc>
          <w:tcPr>
            <w:tcW w:w="1770" w:type="dxa"/>
            <w:vAlign w:val="center"/>
          </w:tcPr>
          <w:p w14:paraId="64AE1DA7">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2月2</w:t>
            </w:r>
            <w:r>
              <w:rPr>
                <w:rFonts w:hint="eastAsia" w:asciiTheme="minorEastAsia" w:hAnsiTheme="minorEastAsia" w:cstheme="minorEastAsia"/>
                <w:sz w:val="24"/>
                <w:szCs w:val="24"/>
                <w:vertAlign w:val="baseline"/>
                <w:lang w:val="en-US" w:eastAsia="zh-CN"/>
              </w:rPr>
              <w:t>8</w:t>
            </w:r>
            <w:r>
              <w:rPr>
                <w:rFonts w:hint="eastAsia" w:asciiTheme="minorEastAsia" w:hAnsiTheme="minorEastAsia" w:eastAsiaTheme="minorEastAsia" w:cstheme="minorEastAsia"/>
                <w:sz w:val="24"/>
                <w:szCs w:val="24"/>
                <w:vertAlign w:val="baseline"/>
                <w:lang w:val="en-US" w:eastAsia="zh-CN"/>
              </w:rPr>
              <w:t>日</w:t>
            </w:r>
          </w:p>
          <w:p w14:paraId="6086434E">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3月</w:t>
            </w:r>
            <w:r>
              <w:rPr>
                <w:rFonts w:hint="eastAsia" w:asciiTheme="minorEastAsia" w:hAnsiTheme="minorEastAsia" w:cstheme="minorEastAsia"/>
                <w:sz w:val="24"/>
                <w:szCs w:val="24"/>
                <w:vertAlign w:val="baseline"/>
                <w:lang w:val="en-US" w:eastAsia="zh-CN"/>
              </w:rPr>
              <w:t>10</w:t>
            </w:r>
            <w:r>
              <w:rPr>
                <w:rFonts w:hint="eastAsia" w:asciiTheme="minorEastAsia" w:hAnsiTheme="minorEastAsia" w:eastAsiaTheme="minorEastAsia" w:cstheme="minorEastAsia"/>
                <w:sz w:val="24"/>
                <w:szCs w:val="24"/>
                <w:vertAlign w:val="baseline"/>
                <w:lang w:val="en-US" w:eastAsia="zh-CN"/>
              </w:rPr>
              <w:t>日</w:t>
            </w:r>
          </w:p>
        </w:tc>
        <w:tc>
          <w:tcPr>
            <w:tcW w:w="4860" w:type="dxa"/>
            <w:vAlign w:val="center"/>
          </w:tcPr>
          <w:p w14:paraId="4C24722D">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所有考生在此期间登录潇湘专升本APP，按照系统要求输入本人姓名、身份证号和本人手机号进行注册（同一手机号不能重复注册）。</w:t>
            </w:r>
          </w:p>
          <w:p w14:paraId="3519C144">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color w:val="auto"/>
                <w:sz w:val="24"/>
                <w:szCs w:val="24"/>
                <w:u w:val="none"/>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考生本人姓名和身份证号须与学信网学籍信息完全一致。注册手机号码须在专升本录取工作结束之前处于正常使用状态，以便及时联络。</w:t>
            </w:r>
            <w:r>
              <w:rPr>
                <w:rFonts w:hint="eastAsia" w:asciiTheme="minorEastAsia" w:hAnsiTheme="minorEastAsia" w:eastAsiaTheme="minorEastAsia" w:cstheme="minorEastAsia"/>
                <w:color w:val="FF0000"/>
                <w:sz w:val="24"/>
                <w:szCs w:val="24"/>
                <w:vertAlign w:val="baseline"/>
                <w:lang w:val="en-US" w:eastAsia="zh-CN"/>
              </w:rPr>
              <w:t>该手机号码须在专升本期间处于正常使用状态。</w:t>
            </w:r>
          </w:p>
        </w:tc>
        <w:tc>
          <w:tcPr>
            <w:tcW w:w="917" w:type="dxa"/>
            <w:vAlign w:val="center"/>
          </w:tcPr>
          <w:p w14:paraId="18E087CF">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w:t>
            </w:r>
          </w:p>
        </w:tc>
      </w:tr>
      <w:tr w14:paraId="7EA23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4D9BB21F">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vAlign w:val="center"/>
          </w:tcPr>
          <w:p w14:paraId="73C37F1D">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报名信息完善</w:t>
            </w:r>
          </w:p>
        </w:tc>
        <w:tc>
          <w:tcPr>
            <w:tcW w:w="1770" w:type="dxa"/>
            <w:vAlign w:val="center"/>
          </w:tcPr>
          <w:p w14:paraId="306F2A51">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2月2</w:t>
            </w:r>
            <w:r>
              <w:rPr>
                <w:rFonts w:hint="eastAsia" w:asciiTheme="minorEastAsia" w:hAnsiTheme="minorEastAsia" w:cstheme="minorEastAsia"/>
                <w:sz w:val="24"/>
                <w:szCs w:val="24"/>
                <w:vertAlign w:val="baseline"/>
                <w:lang w:val="en-US" w:eastAsia="zh-CN"/>
              </w:rPr>
              <w:t>8</w:t>
            </w:r>
            <w:r>
              <w:rPr>
                <w:rFonts w:hint="eastAsia" w:asciiTheme="minorEastAsia" w:hAnsiTheme="minorEastAsia" w:eastAsiaTheme="minorEastAsia" w:cstheme="minorEastAsia"/>
                <w:sz w:val="24"/>
                <w:szCs w:val="24"/>
                <w:vertAlign w:val="baseline"/>
                <w:lang w:val="en-US" w:eastAsia="zh-CN"/>
              </w:rPr>
              <w:t>日</w:t>
            </w:r>
          </w:p>
          <w:p w14:paraId="33FAA6D5">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3月</w:t>
            </w:r>
            <w:r>
              <w:rPr>
                <w:rFonts w:hint="eastAsia" w:asciiTheme="minorEastAsia" w:hAnsiTheme="minorEastAsia" w:cstheme="minorEastAsia"/>
                <w:sz w:val="24"/>
                <w:szCs w:val="24"/>
                <w:vertAlign w:val="baseline"/>
                <w:lang w:val="en-US" w:eastAsia="zh-CN"/>
              </w:rPr>
              <w:t>10</w:t>
            </w:r>
            <w:r>
              <w:rPr>
                <w:rFonts w:hint="eastAsia" w:asciiTheme="minorEastAsia" w:hAnsiTheme="minorEastAsia" w:eastAsiaTheme="minorEastAsia" w:cstheme="minorEastAsia"/>
                <w:sz w:val="24"/>
                <w:szCs w:val="24"/>
                <w:vertAlign w:val="baseline"/>
                <w:lang w:val="en-US" w:eastAsia="zh-CN"/>
              </w:rPr>
              <w:t>日</w:t>
            </w:r>
          </w:p>
        </w:tc>
        <w:tc>
          <w:tcPr>
            <w:tcW w:w="4860" w:type="dxa"/>
            <w:vAlign w:val="center"/>
          </w:tcPr>
          <w:p w14:paraId="052B3659">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left"/>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通过专升本平台“报名”功能完成专升本报名操作：(1)退役军人大学生需如实填写完善本人退役证编号、入伍和退役时间等信息，上传退役证扫描件,立功证书扫描件;(2)竞赛获奖毕业生须按要求如实填写完善本人获奖赛事、赛项（赛道）及获奖等级、获奖时间等信息，上传本人获奖证书扫描件。(3)脱贫家庭毕业生须上传本人所在县级乡村振兴部门出具的原建档立卡身份证明。</w:t>
            </w:r>
          </w:p>
        </w:tc>
        <w:tc>
          <w:tcPr>
            <w:tcW w:w="917" w:type="dxa"/>
            <w:vAlign w:val="center"/>
          </w:tcPr>
          <w:p w14:paraId="5FF23160">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w:t>
            </w:r>
          </w:p>
        </w:tc>
      </w:tr>
      <w:tr w14:paraId="59CB5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1113662F">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vAlign w:val="center"/>
          </w:tcPr>
          <w:p w14:paraId="47AE473E">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资格审核</w:t>
            </w:r>
          </w:p>
        </w:tc>
        <w:tc>
          <w:tcPr>
            <w:tcW w:w="1770" w:type="dxa"/>
            <w:vAlign w:val="center"/>
          </w:tcPr>
          <w:p w14:paraId="4BDB8C97">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3月11日前</w:t>
            </w:r>
          </w:p>
        </w:tc>
        <w:tc>
          <w:tcPr>
            <w:tcW w:w="4860" w:type="dxa"/>
            <w:vAlign w:val="center"/>
          </w:tcPr>
          <w:p w14:paraId="23BE6DCB">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学校审核所有考生的报名资格及填报信息，</w:t>
            </w:r>
            <w:r>
              <w:rPr>
                <w:rFonts w:hint="eastAsia" w:asciiTheme="minorEastAsia" w:hAnsiTheme="minorEastAsia" w:cstheme="minorEastAsia"/>
                <w:sz w:val="24"/>
                <w:szCs w:val="24"/>
                <w:vertAlign w:val="baseline"/>
                <w:lang w:val="en-US" w:eastAsia="zh-CN"/>
              </w:rPr>
              <w:t>含</w:t>
            </w:r>
            <w:r>
              <w:rPr>
                <w:rFonts w:hint="eastAsia" w:asciiTheme="minorEastAsia" w:hAnsiTheme="minorEastAsia" w:eastAsiaTheme="minorEastAsia" w:cstheme="minorEastAsia"/>
                <w:sz w:val="24"/>
                <w:szCs w:val="24"/>
                <w:vertAlign w:val="baseline"/>
                <w:lang w:val="en-US" w:eastAsia="zh-CN"/>
              </w:rPr>
              <w:t>脱贫家庭毕业生、免试计划毕业生材料（不需上交纸质</w:t>
            </w:r>
            <w:r>
              <w:rPr>
                <w:rFonts w:hint="eastAsia" w:asciiTheme="minorEastAsia" w:hAnsiTheme="minorEastAsia" w:cstheme="minorEastAsia"/>
                <w:sz w:val="24"/>
                <w:szCs w:val="24"/>
                <w:vertAlign w:val="baseline"/>
                <w:lang w:val="en-US" w:eastAsia="zh-CN"/>
              </w:rPr>
              <w:t>材料，</w:t>
            </w:r>
            <w:r>
              <w:rPr>
                <w:rFonts w:hint="eastAsia" w:asciiTheme="minorEastAsia" w:hAnsiTheme="minorEastAsia" w:eastAsiaTheme="minorEastAsia" w:cstheme="minorEastAsia"/>
                <w:sz w:val="24"/>
                <w:szCs w:val="24"/>
                <w:vertAlign w:val="baseline"/>
                <w:lang w:val="en-US" w:eastAsia="zh-CN"/>
              </w:rPr>
              <w:t>均可从平台中下载）。</w:t>
            </w:r>
          </w:p>
          <w:p w14:paraId="63E51F4B">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2" w:firstLineChars="200"/>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b/>
                <w:bCs/>
                <w:sz w:val="24"/>
                <w:szCs w:val="24"/>
                <w:vertAlign w:val="baseline"/>
                <w:lang w:val="en-US" w:eastAsia="zh-CN"/>
              </w:rPr>
              <w:t>特别强调</w:t>
            </w:r>
            <w:r>
              <w:rPr>
                <w:rFonts w:hint="eastAsia" w:asciiTheme="minorEastAsia" w:hAnsiTheme="minorEastAsia" w:eastAsiaTheme="minorEastAsia" w:cstheme="minorEastAsia"/>
                <w:sz w:val="24"/>
                <w:szCs w:val="24"/>
                <w:vertAlign w:val="baseline"/>
                <w:lang w:val="en-US" w:eastAsia="zh-CN"/>
              </w:rPr>
              <w:t>：填报了“</w:t>
            </w:r>
            <w:r>
              <w:rPr>
                <w:rFonts w:hint="eastAsia" w:asciiTheme="minorEastAsia" w:hAnsiTheme="minorEastAsia" w:eastAsiaTheme="minorEastAsia" w:cstheme="minorEastAsia"/>
                <w:b/>
                <w:bCs/>
                <w:color w:val="FF0000"/>
                <w:sz w:val="24"/>
                <w:szCs w:val="24"/>
                <w:vertAlign w:val="baseline"/>
                <w:lang w:val="en-US" w:eastAsia="zh-CN"/>
              </w:rPr>
              <w:t>脱贫家庭</w:t>
            </w:r>
            <w:r>
              <w:rPr>
                <w:rFonts w:hint="eastAsia" w:asciiTheme="minorEastAsia" w:hAnsiTheme="minorEastAsia" w:eastAsiaTheme="minorEastAsia" w:cstheme="minorEastAsia"/>
                <w:sz w:val="24"/>
                <w:szCs w:val="24"/>
                <w:vertAlign w:val="baseline"/>
                <w:lang w:val="en-US" w:eastAsia="zh-CN"/>
              </w:rPr>
              <w:t>”的学生，佐证材料务必按文件要求提交“</w:t>
            </w:r>
            <w:r>
              <w:rPr>
                <w:rFonts w:hint="eastAsia" w:asciiTheme="minorEastAsia" w:hAnsiTheme="minorEastAsia" w:eastAsiaTheme="minorEastAsia" w:cstheme="minorEastAsia"/>
                <w:b/>
                <w:bCs/>
                <w:color w:val="FF0000"/>
                <w:sz w:val="24"/>
                <w:szCs w:val="24"/>
                <w:vertAlign w:val="baseline"/>
                <w:lang w:val="en-US" w:eastAsia="zh-CN"/>
              </w:rPr>
              <w:t>由</w:t>
            </w:r>
            <w:r>
              <w:rPr>
                <w:rFonts w:hint="eastAsia" w:asciiTheme="minorEastAsia" w:hAnsiTheme="minorEastAsia" w:eastAsiaTheme="minorEastAsia" w:cstheme="minorEastAsia"/>
                <w:b/>
                <w:bCs/>
                <w:color w:val="FF0000"/>
                <w:sz w:val="24"/>
                <w:szCs w:val="24"/>
                <w:highlight w:val="yellow"/>
                <w:vertAlign w:val="baseline"/>
                <w:lang w:val="en-US" w:eastAsia="zh-CN"/>
              </w:rPr>
              <w:t>县级</w:t>
            </w:r>
            <w:r>
              <w:rPr>
                <w:rFonts w:hint="eastAsia" w:asciiTheme="minorEastAsia" w:hAnsiTheme="minorEastAsia" w:eastAsiaTheme="minorEastAsia" w:cstheme="minorEastAsia"/>
                <w:b/>
                <w:bCs/>
                <w:color w:val="FF0000"/>
                <w:sz w:val="24"/>
                <w:szCs w:val="24"/>
                <w:vertAlign w:val="baseline"/>
                <w:lang w:val="en-US" w:eastAsia="zh-CN"/>
              </w:rPr>
              <w:t>乡村振兴部门出具的原建档立卡身份证明</w:t>
            </w:r>
            <w:r>
              <w:rPr>
                <w:rFonts w:hint="eastAsia" w:asciiTheme="minorEastAsia" w:hAnsiTheme="minorEastAsia" w:eastAsiaTheme="minorEastAsia" w:cstheme="minorEastAsia"/>
                <w:sz w:val="24"/>
                <w:szCs w:val="24"/>
                <w:vertAlign w:val="baseline"/>
                <w:lang w:val="en-US" w:eastAsia="zh-CN"/>
              </w:rPr>
              <w:t>”，一般盖有“</w:t>
            </w:r>
            <w:r>
              <w:rPr>
                <w:rFonts w:hint="eastAsia" w:asciiTheme="minorEastAsia" w:hAnsiTheme="minorEastAsia" w:eastAsiaTheme="minorEastAsia" w:cstheme="minorEastAsia"/>
                <w:b/>
                <w:bCs/>
                <w:color w:val="FF0000"/>
                <w:sz w:val="24"/>
                <w:szCs w:val="24"/>
                <w:vertAlign w:val="baseline"/>
                <w:lang w:val="en-US" w:eastAsia="zh-CN"/>
              </w:rPr>
              <w:t>XXX县乡村振兴局</w:t>
            </w:r>
            <w:r>
              <w:rPr>
                <w:rFonts w:hint="eastAsia" w:asciiTheme="minorEastAsia" w:hAnsiTheme="minorEastAsia" w:eastAsiaTheme="minorEastAsia" w:cstheme="minorEastAsia"/>
                <w:sz w:val="24"/>
                <w:szCs w:val="24"/>
                <w:vertAlign w:val="baseline"/>
                <w:lang w:val="en-US" w:eastAsia="zh-CN"/>
              </w:rPr>
              <w:t>”印章，</w:t>
            </w:r>
            <w:r>
              <w:rPr>
                <w:rFonts w:hint="eastAsia" w:asciiTheme="minorEastAsia" w:hAnsiTheme="minorEastAsia" w:eastAsiaTheme="minorEastAsia" w:cstheme="minorEastAsia"/>
                <w:b/>
                <w:bCs/>
                <w:sz w:val="24"/>
                <w:szCs w:val="24"/>
                <w:vertAlign w:val="baseline"/>
                <w:lang w:val="en-US" w:eastAsia="zh-CN"/>
              </w:rPr>
              <w:t>否则将审核不通过</w:t>
            </w:r>
            <w:r>
              <w:rPr>
                <w:rFonts w:hint="eastAsia" w:asciiTheme="minorEastAsia" w:hAnsiTheme="minorEastAsia" w:eastAsiaTheme="minorEastAsia" w:cstheme="minorEastAsia"/>
                <w:sz w:val="24"/>
                <w:szCs w:val="24"/>
                <w:vertAlign w:val="baseline"/>
                <w:lang w:val="en-US" w:eastAsia="zh-CN"/>
              </w:rPr>
              <w:t>。</w:t>
            </w:r>
          </w:p>
        </w:tc>
        <w:tc>
          <w:tcPr>
            <w:tcW w:w="917" w:type="dxa"/>
            <w:vAlign w:val="center"/>
          </w:tcPr>
          <w:p w14:paraId="44776E20">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教务处</w:t>
            </w:r>
          </w:p>
        </w:tc>
      </w:tr>
      <w:tr w14:paraId="5085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2E5F9EF3">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0B042E43">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考生填报首次志愿</w:t>
            </w:r>
          </w:p>
        </w:tc>
        <w:tc>
          <w:tcPr>
            <w:tcW w:w="1770" w:type="dxa"/>
            <w:shd w:val="clear" w:color="auto" w:fill="auto"/>
            <w:vAlign w:val="center"/>
          </w:tcPr>
          <w:p w14:paraId="71CC7DA7">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3月23日－25日17:00</w:t>
            </w:r>
          </w:p>
        </w:tc>
        <w:tc>
          <w:tcPr>
            <w:tcW w:w="4860" w:type="dxa"/>
            <w:vAlign w:val="center"/>
          </w:tcPr>
          <w:p w14:paraId="12F71094">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考生可查看各招生高校的志愿填报情况，对志愿进行</w:t>
            </w:r>
            <w:r>
              <w:rPr>
                <w:rFonts w:hint="eastAsia" w:asciiTheme="minorEastAsia" w:hAnsiTheme="minorEastAsia" w:cstheme="minorEastAsia"/>
                <w:sz w:val="24"/>
                <w:szCs w:val="24"/>
                <w:vertAlign w:val="baseline"/>
                <w:lang w:val="en-US" w:eastAsia="zh-CN"/>
              </w:rPr>
              <w:t>填报和</w:t>
            </w:r>
            <w:r>
              <w:rPr>
                <w:rFonts w:hint="default" w:asciiTheme="minorEastAsia" w:hAnsiTheme="minorEastAsia" w:eastAsiaTheme="minorEastAsia" w:cstheme="minorEastAsia"/>
                <w:sz w:val="24"/>
                <w:szCs w:val="24"/>
                <w:vertAlign w:val="baseline"/>
                <w:lang w:val="en-US" w:eastAsia="zh-CN"/>
              </w:rPr>
              <w:t>修改</w:t>
            </w:r>
            <w:r>
              <w:rPr>
                <w:rFonts w:hint="eastAsia" w:asciiTheme="minorEastAsia" w:hAnsi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考生根据相关资格审核情况，在普通计划（含脱贫计划）</w:t>
            </w:r>
            <w:r>
              <w:rPr>
                <w:rFonts w:hint="eastAsia" w:asciiTheme="minorEastAsia" w:hAnsi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退役军人大学生免试计划、竞赛获奖免试计划中选择一类报考</w:t>
            </w:r>
            <w:r>
              <w:rPr>
                <w:rFonts w:hint="eastAsia" w:asciiTheme="minorEastAsia" w:hAnsiTheme="minorEastAsia" w:cstheme="minorEastAsia"/>
                <w:sz w:val="24"/>
                <w:szCs w:val="24"/>
                <w:vertAlign w:val="baseline"/>
                <w:lang w:val="en-US" w:eastAsia="zh-CN"/>
              </w:rPr>
              <w:t>，</w:t>
            </w:r>
            <w:r>
              <w:rPr>
                <w:rFonts w:hint="eastAsia" w:asciiTheme="minorEastAsia" w:hAnsiTheme="minorEastAsia" w:cstheme="minorEastAsia"/>
                <w:color w:val="auto"/>
                <w:sz w:val="24"/>
                <w:szCs w:val="24"/>
                <w:vertAlign w:val="baseline"/>
                <w:lang w:val="en-US" w:eastAsia="zh-CN"/>
              </w:rPr>
              <w:t>可填报1</w:t>
            </w:r>
            <w:r>
              <w:rPr>
                <w:rFonts w:hint="eastAsia" w:asciiTheme="minorEastAsia" w:hAnsiTheme="minorEastAsia" w:eastAsiaTheme="minorEastAsia" w:cstheme="minorEastAsia"/>
                <w:color w:val="auto"/>
                <w:sz w:val="24"/>
                <w:szCs w:val="24"/>
                <w:vertAlign w:val="baseline"/>
                <w:lang w:val="en-US" w:eastAsia="zh-CN"/>
              </w:rPr>
              <w:t>个“院校</w:t>
            </w:r>
            <w:r>
              <w:rPr>
                <w:rFonts w:hint="default" w:asciiTheme="minorEastAsia" w:hAnsiTheme="minorEastAsia" w:eastAsiaTheme="minorEastAsia" w:cstheme="minorEastAsia"/>
                <w:color w:val="auto"/>
                <w:sz w:val="24"/>
                <w:szCs w:val="24"/>
                <w:vertAlign w:val="baseline"/>
                <w:lang w:val="en-US" w:eastAsia="zh-CN"/>
              </w:rPr>
              <w:t>+</w:t>
            </w:r>
            <w:r>
              <w:rPr>
                <w:rFonts w:hint="eastAsia" w:asciiTheme="minorEastAsia" w:hAnsiTheme="minorEastAsia" w:eastAsiaTheme="minorEastAsia" w:cstheme="minorEastAsia"/>
                <w:color w:val="auto"/>
                <w:sz w:val="24"/>
                <w:szCs w:val="24"/>
                <w:vertAlign w:val="baseline"/>
                <w:lang w:val="en-US" w:eastAsia="zh-CN"/>
              </w:rPr>
              <w:t>专业”志愿</w:t>
            </w:r>
            <w:r>
              <w:rPr>
                <w:rFonts w:hint="eastAsia" w:asciiTheme="minorEastAsia" w:hAnsiTheme="minorEastAsia" w:cstheme="minorEastAsia"/>
                <w:color w:val="auto"/>
                <w:sz w:val="24"/>
                <w:szCs w:val="24"/>
                <w:vertAlign w:val="baseline"/>
                <w:lang w:val="en-US" w:eastAsia="zh-CN"/>
              </w:rPr>
              <w:t>。</w:t>
            </w:r>
          </w:p>
        </w:tc>
        <w:tc>
          <w:tcPr>
            <w:tcW w:w="917" w:type="dxa"/>
            <w:vAlign w:val="center"/>
          </w:tcPr>
          <w:p w14:paraId="397F7F36">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w:t>
            </w:r>
          </w:p>
        </w:tc>
      </w:tr>
      <w:tr w14:paraId="2649A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1CFD9A71">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5AF21BD2">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考生向首次志愿高校缴纳考试费</w:t>
            </w:r>
          </w:p>
        </w:tc>
        <w:tc>
          <w:tcPr>
            <w:tcW w:w="1770" w:type="dxa"/>
            <w:shd w:val="clear" w:color="auto" w:fill="auto"/>
            <w:vAlign w:val="center"/>
          </w:tcPr>
          <w:p w14:paraId="57AC0D51">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3月26日－27日</w:t>
            </w:r>
          </w:p>
        </w:tc>
        <w:tc>
          <w:tcPr>
            <w:tcW w:w="4860" w:type="dxa"/>
            <w:vAlign w:val="center"/>
          </w:tcPr>
          <w:p w14:paraId="641C0F1B">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按照志愿高校提供的缴费办法，收费标准为130元/生。未缴纳费用的考生不予安排考试。</w:t>
            </w:r>
          </w:p>
        </w:tc>
        <w:tc>
          <w:tcPr>
            <w:tcW w:w="917" w:type="dxa"/>
            <w:vAlign w:val="center"/>
          </w:tcPr>
          <w:p w14:paraId="5D6962C0">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考生</w:t>
            </w:r>
          </w:p>
        </w:tc>
      </w:tr>
      <w:tr w14:paraId="538E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08AC16F9">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624834DB">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免试计划考生首次志愿录取</w:t>
            </w:r>
          </w:p>
        </w:tc>
        <w:tc>
          <w:tcPr>
            <w:tcW w:w="1770" w:type="dxa"/>
            <w:shd w:val="clear" w:color="auto" w:fill="auto"/>
            <w:vAlign w:val="center"/>
          </w:tcPr>
          <w:p w14:paraId="3277B11C">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4月1日前</w:t>
            </w:r>
          </w:p>
        </w:tc>
        <w:tc>
          <w:tcPr>
            <w:tcW w:w="4860" w:type="dxa"/>
            <w:vAlign w:val="center"/>
          </w:tcPr>
          <w:p w14:paraId="0D4092E5">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免试计划考生可通过专升本平台查询。</w:t>
            </w:r>
          </w:p>
        </w:tc>
        <w:tc>
          <w:tcPr>
            <w:tcW w:w="917" w:type="dxa"/>
            <w:vAlign w:val="center"/>
          </w:tcPr>
          <w:p w14:paraId="6E050776">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省考试院</w:t>
            </w:r>
          </w:p>
        </w:tc>
      </w:tr>
      <w:tr w14:paraId="770E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277CF79F">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7DFC2600">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免试计划考生填报征集志愿</w:t>
            </w:r>
          </w:p>
        </w:tc>
        <w:tc>
          <w:tcPr>
            <w:tcW w:w="1770" w:type="dxa"/>
            <w:shd w:val="clear" w:color="auto" w:fill="auto"/>
            <w:vAlign w:val="center"/>
          </w:tcPr>
          <w:p w14:paraId="4F997761">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4月2日8:00-17:00</w:t>
            </w:r>
          </w:p>
        </w:tc>
        <w:tc>
          <w:tcPr>
            <w:tcW w:w="4860" w:type="dxa"/>
            <w:vAlign w:val="center"/>
          </w:tcPr>
          <w:p w14:paraId="4BD7F84F">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免试计划征集志愿采取顺序志愿方式，考生可依次填报</w:t>
            </w:r>
            <w:r>
              <w:rPr>
                <w:rFonts w:hint="default" w:asciiTheme="minorEastAsia" w:hAnsiTheme="minorEastAsia" w:eastAsiaTheme="minorEastAsia" w:cstheme="minorEastAsia"/>
                <w:sz w:val="24"/>
                <w:szCs w:val="24"/>
                <w:vertAlign w:val="baseline"/>
                <w:lang w:val="en-US" w:eastAsia="zh-CN"/>
              </w:rPr>
              <w:t>2</w:t>
            </w:r>
            <w:r>
              <w:rPr>
                <w:rFonts w:hint="eastAsia" w:asciiTheme="minorEastAsia" w:hAnsiTheme="minorEastAsia" w:eastAsiaTheme="minorEastAsia" w:cstheme="minorEastAsia"/>
                <w:sz w:val="24"/>
                <w:szCs w:val="24"/>
                <w:vertAlign w:val="baseline"/>
                <w:lang w:val="en-US" w:eastAsia="zh-CN"/>
              </w:rPr>
              <w:t>个“院校</w:t>
            </w:r>
            <w:r>
              <w:rPr>
                <w:rFonts w:hint="default" w:asciiTheme="minorEastAsia" w:hAnsiTheme="minorEastAsia" w:eastAsia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专业”志愿</w:t>
            </w:r>
            <w:r>
              <w:rPr>
                <w:rFonts w:hint="eastAsia" w:asciiTheme="minorEastAsia" w:hAnsiTheme="minorEastAsia" w:cstheme="minorEastAsia"/>
                <w:sz w:val="24"/>
                <w:szCs w:val="24"/>
                <w:vertAlign w:val="baseline"/>
                <w:lang w:val="en-US" w:eastAsia="zh-CN"/>
              </w:rPr>
              <w:t>。</w:t>
            </w:r>
          </w:p>
        </w:tc>
        <w:tc>
          <w:tcPr>
            <w:tcW w:w="917" w:type="dxa"/>
            <w:vAlign w:val="center"/>
          </w:tcPr>
          <w:p w14:paraId="26CBDF99">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省考试院</w:t>
            </w:r>
          </w:p>
        </w:tc>
      </w:tr>
      <w:tr w14:paraId="7B9A4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1284B862">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1CF8E79E">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完成免试计划考生录取</w:t>
            </w:r>
          </w:p>
        </w:tc>
        <w:tc>
          <w:tcPr>
            <w:tcW w:w="1770" w:type="dxa"/>
            <w:shd w:val="clear" w:color="auto" w:fill="auto"/>
            <w:vAlign w:val="center"/>
          </w:tcPr>
          <w:p w14:paraId="4E76E303">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4月10日前</w:t>
            </w:r>
          </w:p>
        </w:tc>
        <w:tc>
          <w:tcPr>
            <w:tcW w:w="4860" w:type="dxa"/>
            <w:vAlign w:val="center"/>
          </w:tcPr>
          <w:p w14:paraId="4A629094">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免试计划考生通过专升本平台查询。</w:t>
            </w:r>
          </w:p>
        </w:tc>
        <w:tc>
          <w:tcPr>
            <w:tcW w:w="917" w:type="dxa"/>
            <w:vAlign w:val="center"/>
          </w:tcPr>
          <w:p w14:paraId="5D35E48D">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省考试院</w:t>
            </w:r>
          </w:p>
        </w:tc>
      </w:tr>
      <w:tr w14:paraId="26E4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280A45F6">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6D2B6732">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普通计划考生打印准考证</w:t>
            </w:r>
          </w:p>
        </w:tc>
        <w:tc>
          <w:tcPr>
            <w:tcW w:w="1770" w:type="dxa"/>
            <w:shd w:val="clear" w:color="auto" w:fill="auto"/>
            <w:vAlign w:val="center"/>
          </w:tcPr>
          <w:p w14:paraId="2A3DF371">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4月15日－17日</w:t>
            </w:r>
          </w:p>
        </w:tc>
        <w:tc>
          <w:tcPr>
            <w:tcW w:w="4860" w:type="dxa"/>
            <w:vAlign w:val="center"/>
          </w:tcPr>
          <w:p w14:paraId="6DF024E2">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登录“专升本信息平台”，自行下载并打印准考证，按照报考高校要求做好考前准备。</w:t>
            </w:r>
          </w:p>
        </w:tc>
        <w:tc>
          <w:tcPr>
            <w:tcW w:w="917" w:type="dxa"/>
            <w:vAlign w:val="center"/>
          </w:tcPr>
          <w:p w14:paraId="2EC07333">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考生</w:t>
            </w:r>
          </w:p>
        </w:tc>
      </w:tr>
      <w:tr w14:paraId="63E66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4C5A45E3">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02FFCB88">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普通计划考试</w:t>
            </w:r>
          </w:p>
        </w:tc>
        <w:tc>
          <w:tcPr>
            <w:tcW w:w="1770" w:type="dxa"/>
            <w:shd w:val="clear" w:color="auto" w:fill="auto"/>
            <w:vAlign w:val="center"/>
          </w:tcPr>
          <w:p w14:paraId="4B898C14">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4月18日－19日</w:t>
            </w:r>
          </w:p>
        </w:tc>
        <w:tc>
          <w:tcPr>
            <w:tcW w:w="4860" w:type="dxa"/>
            <w:vAlign w:val="center"/>
          </w:tcPr>
          <w:p w14:paraId="42257CB5">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统一安排在4月</w:t>
            </w:r>
            <w:r>
              <w:rPr>
                <w:rFonts w:hint="eastAsia" w:asciiTheme="minorEastAsia" w:hAnsiTheme="minorEastAsia" w:cstheme="minorEastAsia"/>
                <w:sz w:val="24"/>
                <w:szCs w:val="24"/>
                <w:vertAlign w:val="baseline"/>
                <w:lang w:val="en-US" w:eastAsia="zh-CN"/>
              </w:rPr>
              <w:t>18</w:t>
            </w:r>
            <w:r>
              <w:rPr>
                <w:rFonts w:hint="eastAsia" w:asciiTheme="minorEastAsia" w:hAnsiTheme="minorEastAsia" w:eastAsiaTheme="minorEastAsia" w:cstheme="minorEastAsia"/>
                <w:sz w:val="24"/>
                <w:szCs w:val="24"/>
                <w:vertAlign w:val="baseline"/>
                <w:lang w:val="en-US" w:eastAsia="zh-CN"/>
              </w:rPr>
              <w:t>日考试。如有加试科目的将由高校自行组织，具体以准考证上的时间</w:t>
            </w:r>
            <w:r>
              <w:rPr>
                <w:rFonts w:hint="eastAsia" w:asciiTheme="minorEastAsia" w:hAnsiTheme="minorEastAsia" w:cstheme="minorEastAsia"/>
                <w:sz w:val="24"/>
                <w:szCs w:val="24"/>
                <w:vertAlign w:val="baseline"/>
                <w:lang w:val="en-US" w:eastAsia="zh-CN"/>
              </w:rPr>
              <w:t>和科目</w:t>
            </w:r>
            <w:r>
              <w:rPr>
                <w:rFonts w:hint="eastAsia" w:asciiTheme="minorEastAsia" w:hAnsiTheme="minorEastAsia" w:eastAsiaTheme="minorEastAsia" w:cstheme="minorEastAsia"/>
                <w:sz w:val="24"/>
                <w:szCs w:val="24"/>
                <w:vertAlign w:val="baseline"/>
                <w:lang w:val="en-US" w:eastAsia="zh-CN"/>
              </w:rPr>
              <w:t>为准。</w:t>
            </w:r>
          </w:p>
        </w:tc>
        <w:tc>
          <w:tcPr>
            <w:tcW w:w="917" w:type="dxa"/>
            <w:vAlign w:val="center"/>
          </w:tcPr>
          <w:p w14:paraId="5C1A35EF">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各高校</w:t>
            </w:r>
          </w:p>
        </w:tc>
      </w:tr>
      <w:tr w14:paraId="70728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07EAFB60">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521BE113">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公布普通计划考生成绩</w:t>
            </w:r>
          </w:p>
        </w:tc>
        <w:tc>
          <w:tcPr>
            <w:tcW w:w="1770" w:type="dxa"/>
            <w:shd w:val="clear" w:color="auto" w:fill="auto"/>
            <w:vAlign w:val="center"/>
          </w:tcPr>
          <w:p w14:paraId="540B62A2">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5月11日前</w:t>
            </w:r>
          </w:p>
        </w:tc>
        <w:tc>
          <w:tcPr>
            <w:tcW w:w="4860" w:type="dxa"/>
            <w:vAlign w:val="center"/>
          </w:tcPr>
          <w:p w14:paraId="58B0B734">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考生通过专升本平台查询成绩。</w:t>
            </w:r>
          </w:p>
        </w:tc>
        <w:tc>
          <w:tcPr>
            <w:tcW w:w="917" w:type="dxa"/>
            <w:vAlign w:val="center"/>
          </w:tcPr>
          <w:p w14:paraId="2AA435F6">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省考试院</w:t>
            </w:r>
          </w:p>
        </w:tc>
      </w:tr>
      <w:tr w14:paraId="024A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295A092A">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386D3DC6">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普通计划考生首次志愿录取</w:t>
            </w:r>
          </w:p>
        </w:tc>
        <w:tc>
          <w:tcPr>
            <w:tcW w:w="1770" w:type="dxa"/>
            <w:shd w:val="clear" w:color="auto" w:fill="auto"/>
            <w:vAlign w:val="center"/>
          </w:tcPr>
          <w:p w14:paraId="36D81441">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5月26日前</w:t>
            </w:r>
          </w:p>
        </w:tc>
        <w:tc>
          <w:tcPr>
            <w:tcW w:w="4860" w:type="dxa"/>
            <w:vAlign w:val="center"/>
          </w:tcPr>
          <w:p w14:paraId="77D33563">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考生通过专升本平台查询拟录取结果公示。</w:t>
            </w:r>
          </w:p>
        </w:tc>
        <w:tc>
          <w:tcPr>
            <w:tcW w:w="917" w:type="dxa"/>
            <w:vAlign w:val="center"/>
          </w:tcPr>
          <w:p w14:paraId="7C7BB8D6">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省考试院</w:t>
            </w:r>
          </w:p>
        </w:tc>
      </w:tr>
      <w:tr w14:paraId="551C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2F81E00F">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53E70644">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普通计划考生填报征集志愿</w:t>
            </w:r>
          </w:p>
        </w:tc>
        <w:tc>
          <w:tcPr>
            <w:tcW w:w="1770" w:type="dxa"/>
            <w:shd w:val="clear" w:color="auto" w:fill="auto"/>
            <w:vAlign w:val="center"/>
          </w:tcPr>
          <w:p w14:paraId="7E540073">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5月27日8:00-17:00</w:t>
            </w:r>
          </w:p>
        </w:tc>
        <w:tc>
          <w:tcPr>
            <w:tcW w:w="4860" w:type="dxa"/>
            <w:vAlign w:val="center"/>
          </w:tcPr>
          <w:p w14:paraId="2B640E29">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普通计划的征集志愿采取平行志愿方式，考生最多可填报</w:t>
            </w:r>
            <w:r>
              <w:rPr>
                <w:rFonts w:hint="default" w:asciiTheme="minorEastAsia" w:hAnsiTheme="minorEastAsia" w:eastAsiaTheme="minorEastAsia" w:cstheme="minorEastAsia"/>
                <w:sz w:val="24"/>
                <w:szCs w:val="24"/>
                <w:vertAlign w:val="baseline"/>
                <w:lang w:val="en-US" w:eastAsia="zh-CN"/>
              </w:rPr>
              <w:t>5</w:t>
            </w:r>
            <w:r>
              <w:rPr>
                <w:rFonts w:hint="eastAsia" w:asciiTheme="minorEastAsia" w:hAnsiTheme="minorEastAsia" w:eastAsiaTheme="minorEastAsia" w:cstheme="minorEastAsia"/>
                <w:sz w:val="24"/>
                <w:szCs w:val="24"/>
                <w:vertAlign w:val="baseline"/>
                <w:lang w:val="en-US" w:eastAsia="zh-CN"/>
              </w:rPr>
              <w:t>个</w:t>
            </w:r>
            <w:r>
              <w:rPr>
                <w:rFonts w:hint="default" w:asciiTheme="minorEastAsia" w:hAnsiTheme="minorEastAsia" w:eastAsia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院校</w:t>
            </w:r>
            <w:r>
              <w:rPr>
                <w:rFonts w:hint="default" w:asciiTheme="minorEastAsia" w:hAnsiTheme="minorEastAsia" w:eastAsia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专业</w:t>
            </w:r>
            <w:r>
              <w:rPr>
                <w:rFonts w:hint="default" w:asciiTheme="minorEastAsia" w:hAnsiTheme="minorEastAsia" w:eastAsia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志愿，但必须选择统考科目与本人的考试科目相一致的专业。</w:t>
            </w:r>
          </w:p>
        </w:tc>
        <w:tc>
          <w:tcPr>
            <w:tcW w:w="917" w:type="dxa"/>
            <w:vAlign w:val="center"/>
          </w:tcPr>
          <w:p w14:paraId="12AD2D19">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省考试院</w:t>
            </w:r>
          </w:p>
        </w:tc>
      </w:tr>
      <w:tr w14:paraId="0137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17FB854D">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1E1A4265">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完成普通计划考生录取</w:t>
            </w:r>
          </w:p>
        </w:tc>
        <w:tc>
          <w:tcPr>
            <w:tcW w:w="1770" w:type="dxa"/>
            <w:shd w:val="clear" w:color="auto" w:fill="auto"/>
            <w:vAlign w:val="center"/>
          </w:tcPr>
          <w:p w14:paraId="3916441C">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5月29日前</w:t>
            </w:r>
          </w:p>
        </w:tc>
        <w:tc>
          <w:tcPr>
            <w:tcW w:w="4860" w:type="dxa"/>
            <w:vAlign w:val="center"/>
          </w:tcPr>
          <w:p w14:paraId="27B20AC0">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完成普通计划考生录取</w:t>
            </w:r>
          </w:p>
        </w:tc>
        <w:tc>
          <w:tcPr>
            <w:tcW w:w="917" w:type="dxa"/>
            <w:vAlign w:val="center"/>
          </w:tcPr>
          <w:p w14:paraId="13161B7A">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省考试院</w:t>
            </w:r>
          </w:p>
        </w:tc>
      </w:tr>
      <w:tr w14:paraId="619A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33914DB3">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0318D46E">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拟录取结果查询</w:t>
            </w:r>
          </w:p>
        </w:tc>
        <w:tc>
          <w:tcPr>
            <w:tcW w:w="1770" w:type="dxa"/>
            <w:shd w:val="clear" w:color="auto" w:fill="auto"/>
            <w:vAlign w:val="center"/>
          </w:tcPr>
          <w:p w14:paraId="30A800BA">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6月4日</w:t>
            </w:r>
          </w:p>
        </w:tc>
        <w:tc>
          <w:tcPr>
            <w:tcW w:w="4860" w:type="dxa"/>
            <w:vAlign w:val="center"/>
          </w:tcPr>
          <w:p w14:paraId="2E60F777">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考生通过专升本平台查询拟录取结果。</w:t>
            </w:r>
          </w:p>
        </w:tc>
        <w:tc>
          <w:tcPr>
            <w:tcW w:w="917" w:type="dxa"/>
            <w:vAlign w:val="center"/>
          </w:tcPr>
          <w:p w14:paraId="65DF525E">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考生</w:t>
            </w:r>
          </w:p>
        </w:tc>
      </w:tr>
      <w:tr w14:paraId="28F7C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7" w:hRule="atLeast"/>
          <w:jc w:val="center"/>
        </w:trPr>
        <w:tc>
          <w:tcPr>
            <w:tcW w:w="737" w:type="dxa"/>
            <w:vAlign w:val="center"/>
          </w:tcPr>
          <w:p w14:paraId="2F76BBD7">
            <w:pPr>
              <w:keepNext w:val="0"/>
              <w:keepLines w:val="0"/>
              <w:pageBreakBefore w:val="0"/>
              <w:widowControl w:val="0"/>
              <w:numPr>
                <w:ilvl w:val="0"/>
                <w:numId w:val="2"/>
              </w:numPr>
              <w:kinsoku/>
              <w:wordWrap/>
              <w:overflowPunct/>
              <w:topLinePunct w:val="0"/>
              <w:autoSpaceDE/>
              <w:autoSpaceDN/>
              <w:bidi w:val="0"/>
              <w:adjustRightInd/>
              <w:snapToGrid/>
              <w:spacing w:line="360" w:lineRule="exact"/>
              <w:ind w:left="425" w:leftChars="0" w:hanging="425" w:firstLineChars="0"/>
              <w:jc w:val="right"/>
              <w:textAlignment w:val="auto"/>
              <w:rPr>
                <w:rFonts w:hint="eastAsia" w:asciiTheme="minorEastAsia" w:hAnsiTheme="minorEastAsia" w:eastAsiaTheme="minorEastAsia" w:cstheme="minorEastAsia"/>
                <w:sz w:val="24"/>
                <w:szCs w:val="24"/>
                <w:vertAlign w:val="baseline"/>
                <w:lang w:val="en-US" w:eastAsia="zh-CN"/>
              </w:rPr>
            </w:pPr>
          </w:p>
        </w:tc>
        <w:tc>
          <w:tcPr>
            <w:tcW w:w="1230" w:type="dxa"/>
            <w:shd w:val="clear" w:color="auto" w:fill="auto"/>
            <w:vAlign w:val="center"/>
          </w:tcPr>
          <w:p w14:paraId="72638D17">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拟录取结果公示</w:t>
            </w:r>
          </w:p>
        </w:tc>
        <w:tc>
          <w:tcPr>
            <w:tcW w:w="1770" w:type="dxa"/>
            <w:shd w:val="clear" w:color="auto" w:fill="auto"/>
            <w:vAlign w:val="center"/>
          </w:tcPr>
          <w:p w14:paraId="2BA2C9B6">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6月5日－11日</w:t>
            </w:r>
          </w:p>
        </w:tc>
        <w:tc>
          <w:tcPr>
            <w:tcW w:w="4860" w:type="dxa"/>
            <w:vAlign w:val="center"/>
          </w:tcPr>
          <w:p w14:paraId="1149741B">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考生通过专升本平台查询拟录取结果公示。</w:t>
            </w:r>
          </w:p>
        </w:tc>
        <w:tc>
          <w:tcPr>
            <w:tcW w:w="917" w:type="dxa"/>
            <w:vAlign w:val="center"/>
          </w:tcPr>
          <w:p w14:paraId="30BBBE20">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省考试院</w:t>
            </w:r>
          </w:p>
        </w:tc>
      </w:tr>
    </w:tbl>
    <w:p w14:paraId="7BD82170">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未尽事宜，请仔细阅读</w:t>
      </w:r>
      <w:r>
        <w:rPr>
          <w:rFonts w:hint="eastAsia" w:ascii="仿宋_GB2312" w:hAnsi="仿宋_GB2312" w:eastAsia="仿宋_GB2312" w:cs="仿宋_GB2312"/>
          <w:color w:val="auto"/>
          <w:sz w:val="32"/>
          <w:szCs w:val="32"/>
          <w:lang w:val="en-US" w:eastAsia="zh-CN"/>
        </w:rPr>
        <w:t>《关于做好2026年湖南省普通高等学校专升本考试招生工作的通知》</w:t>
      </w:r>
      <w:r>
        <w:rPr>
          <w:rFonts w:hint="eastAsia" w:ascii="仿宋_GB2312" w:hAnsi="仿宋_GB2312" w:eastAsia="仿宋_GB2312" w:cs="仿宋_GB2312"/>
          <w:color w:val="FF0000"/>
          <w:sz w:val="32"/>
          <w:szCs w:val="32"/>
          <w:lang w:val="en-US" w:eastAsia="zh-CN"/>
        </w:rPr>
        <w:t>（附件1）</w:t>
      </w:r>
      <w:r>
        <w:rPr>
          <w:rFonts w:hint="eastAsia" w:ascii="仿宋_GB2312" w:hAnsi="仿宋_GB2312" w:eastAsia="仿宋_GB2312" w:cs="仿宋_GB2312"/>
          <w:color w:val="auto"/>
          <w:sz w:val="32"/>
          <w:szCs w:val="32"/>
          <w:lang w:val="en-US" w:eastAsia="zh-CN"/>
        </w:rPr>
        <w:t>和《关于做好2026年普通高校专升本考试招生报名工作的通知》</w:t>
      </w:r>
      <w:r>
        <w:rPr>
          <w:rFonts w:hint="eastAsia" w:ascii="仿宋_GB2312" w:hAnsi="仿宋_GB2312" w:eastAsia="仿宋_GB2312" w:cs="仿宋_GB2312"/>
          <w:color w:val="FF0000"/>
          <w:sz w:val="32"/>
          <w:szCs w:val="32"/>
          <w:lang w:val="en-US" w:eastAsia="zh-CN"/>
        </w:rPr>
        <w:t>（附件2）</w:t>
      </w:r>
      <w:r>
        <w:rPr>
          <w:rFonts w:hint="eastAsia" w:ascii="仿宋_GB2312" w:hAnsi="仿宋_GB2312" w:eastAsia="仿宋_GB2312" w:cs="仿宋_GB2312"/>
          <w:color w:val="auto"/>
          <w:sz w:val="32"/>
          <w:szCs w:val="32"/>
          <w:lang w:val="en-US" w:eastAsia="zh-CN"/>
        </w:rPr>
        <w:t>等文件。</w:t>
      </w:r>
    </w:p>
    <w:p w14:paraId="6E1336B0">
      <w:pPr>
        <w:keepNext w:val="0"/>
        <w:keepLines w:val="0"/>
        <w:pageBreakBefore w:val="0"/>
        <w:widowControl w:val="0"/>
        <w:numPr>
          <w:ilvl w:val="0"/>
          <w:numId w:val="1"/>
        </w:numPr>
        <w:kinsoku/>
        <w:wordWrap/>
        <w:overflowPunct/>
        <w:topLinePunct w:val="0"/>
        <w:autoSpaceDE/>
        <w:autoSpaceDN/>
        <w:bidi w:val="0"/>
        <w:adjustRightInd/>
        <w:snapToGrid/>
        <w:spacing w:before="120" w:line="50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考试科目及组织</w:t>
      </w:r>
      <w:bookmarkStart w:id="0" w:name="_GoBack"/>
      <w:bookmarkEnd w:id="0"/>
    </w:p>
    <w:p w14:paraId="5A543511">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考试科目由公共科目和专业综合科目组成。公共科目共设大学语文、高等数学、大学英语</w:t>
      </w: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en-US" w:eastAsia="zh-CN"/>
        </w:rPr>
        <w:t>门，各招生高校根据专业人才培养要求从中任选</w:t>
      </w: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门；专业综合科目由招生高校自行命题，一般只设</w:t>
      </w: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门专业综合科目。普通计划统考公共科目考试要求详见《湖南省2024年普通高等学校专升本公共科目考试要求》（附件3）。</w:t>
      </w:r>
    </w:p>
    <w:p w14:paraId="184346D5">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统考公共科目由省教育考试院统一命题、统一制卷；专业综合科目、有关专业加试科目由招生高校按照相关要求自主命题、自行制卷。考点设置在各招生本科高校，考生均在拟报考本科高校的考点参加考试</w:t>
      </w:r>
    </w:p>
    <w:p w14:paraId="7F37FEC5">
      <w:pPr>
        <w:keepNext w:val="0"/>
        <w:keepLines w:val="0"/>
        <w:pageBreakBefore w:val="0"/>
        <w:widowControl w:val="0"/>
        <w:numPr>
          <w:ilvl w:val="0"/>
          <w:numId w:val="1"/>
        </w:numPr>
        <w:kinsoku/>
        <w:wordWrap/>
        <w:overflowPunct/>
        <w:topLinePunct w:val="0"/>
        <w:autoSpaceDE/>
        <w:autoSpaceDN/>
        <w:bidi w:val="0"/>
        <w:adjustRightInd/>
        <w:snapToGrid/>
        <w:spacing w:before="120" w:line="50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注意事项</w:t>
      </w:r>
    </w:p>
    <w:p w14:paraId="05ABEACC">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（一）请各二级学院准确把握有关政策和要求，通过多渠道及时向毕业生进行政策宣传和解读，并加强对毕业生志愿填报的引导。</w:t>
      </w:r>
    </w:p>
    <w:p w14:paraId="0DF2D89D">
      <w:pPr>
        <w:pStyle w:val="23"/>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（二）联系人：曹老师,联系电话：0731-84028517。</w:t>
      </w:r>
    </w:p>
    <w:p w14:paraId="546CEC84">
      <w:pPr>
        <w:pStyle w:val="23"/>
        <w:bidi w:val="0"/>
        <w:rPr>
          <w:rFonts w:hint="eastAsia"/>
          <w:lang w:val="en-US" w:eastAsia="zh-CN"/>
        </w:rPr>
      </w:pPr>
    </w:p>
    <w:p w14:paraId="6881769A">
      <w:pPr>
        <w:pStyle w:val="2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附件：</w:t>
      </w:r>
    </w:p>
    <w:p w14:paraId="77F99BB2">
      <w:pPr>
        <w:pStyle w:val="23"/>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1.关于做好2025年湖南省普通高等学校专升本考试招生工作的通知</w:t>
      </w:r>
    </w:p>
    <w:p w14:paraId="789ECBDF">
      <w:pPr>
        <w:pStyle w:val="23"/>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2.关于做好2025年普通高校专升本考试招生报名工作的通知</w:t>
      </w:r>
    </w:p>
    <w:p w14:paraId="2B02FA91">
      <w:pPr>
        <w:pStyle w:val="23"/>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3.关于印发《湖南省2024年普通高等学校专升本公共科目考试要求》的通知</w:t>
      </w:r>
    </w:p>
    <w:p w14:paraId="753DF9F6">
      <w:pPr>
        <w:pStyle w:val="23"/>
        <w:bidi w:val="0"/>
        <w:jc w:val="right"/>
        <w:rPr>
          <w:rFonts w:hint="eastAsia"/>
          <w:b/>
          <w:bCs/>
          <w:lang w:val="en-US" w:eastAsia="zh-CN"/>
        </w:rPr>
      </w:pPr>
    </w:p>
    <w:p w14:paraId="7BE8545F">
      <w:pPr>
        <w:pStyle w:val="23"/>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教务处     </w:t>
      </w:r>
    </w:p>
    <w:p w14:paraId="5E7F8ED5">
      <w:pPr>
        <w:pStyle w:val="23"/>
        <w:keepNext w:val="0"/>
        <w:keepLines w:val="0"/>
        <w:pageBreakBefore w:val="0"/>
        <w:widowControl w:val="0"/>
        <w:kinsoku/>
        <w:wordWrap/>
        <w:overflowPunct/>
        <w:topLinePunct w:val="0"/>
        <w:autoSpaceDE/>
        <w:autoSpaceDN/>
        <w:bidi w:val="0"/>
        <w:adjustRightInd/>
        <w:snapToGrid/>
        <w:spacing w:line="60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2026年2月6日</w:t>
      </w:r>
    </w:p>
    <w:sectPr>
      <w:footerReference r:id="rId3" w:type="default"/>
      <w:pgSz w:w="11906" w:h="16838"/>
      <w:pgMar w:top="1417" w:right="1304" w:bottom="1417"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Microsoft YaHei UI"/>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00004FF" w:usb2="00000000" w:usb3="00000000" w:csb0="2000019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B7186">
    <w:pPr>
      <w:pStyle w:val="5"/>
      <w:jc w:val="center"/>
    </w:pPr>
    <w:r>
      <w:rPr>
        <w:rFonts w:hint="eastAsia" w:asciiTheme="majorHAnsi" w:hAnsiTheme="majorHAnsi" w:eastAsiaTheme="majorEastAsia" w:cstheme="majorBidi"/>
        <w:sz w:val="28"/>
        <w:szCs w:val="28"/>
        <w:lang w:val="zh-CN"/>
      </w:rPr>
      <w:t>—</w:t>
    </w:r>
    <w:r>
      <w:rPr>
        <w:sz w:val="22"/>
        <w:szCs w:val="22"/>
      </w:rPr>
      <w:fldChar w:fldCharType="begin"/>
    </w:r>
    <w:r>
      <w:instrText xml:space="preserve">PAGE    \* MERGEFORMAT</w:instrText>
    </w:r>
    <w:r>
      <w:rPr>
        <w:sz w:val="22"/>
        <w:szCs w:val="22"/>
      </w:rPr>
      <w:fldChar w:fldCharType="separate"/>
    </w:r>
    <w:r>
      <w:rPr>
        <w:rFonts w:asciiTheme="majorHAnsi" w:hAnsiTheme="majorHAnsi" w:eastAsiaTheme="majorEastAsia" w:cstheme="majorBidi"/>
        <w:sz w:val="28"/>
        <w:szCs w:val="28"/>
        <w:lang w:val="zh-CN"/>
      </w:rPr>
      <w:t>4</w:t>
    </w:r>
    <w:r>
      <w:rPr>
        <w:rFonts w:asciiTheme="majorHAnsi" w:hAnsiTheme="majorHAnsi" w:eastAsiaTheme="majorEastAsia" w:cstheme="majorBidi"/>
        <w:sz w:val="28"/>
        <w:szCs w:val="28"/>
      </w:rPr>
      <w:fldChar w:fldCharType="end"/>
    </w:r>
    <w:r>
      <w:rPr>
        <w:rFonts w:hint="eastAsia" w:asciiTheme="majorHAnsi" w:hAnsiTheme="majorHAnsi" w:eastAsiaTheme="majorEastAsia" w:cstheme="majorBidi"/>
        <w:sz w:val="28"/>
        <w:szCs w:val="28"/>
        <w:lang w:val="zh-CN"/>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2F4805"/>
    <w:multiLevelType w:val="singleLevel"/>
    <w:tmpl w:val="C12F4805"/>
    <w:lvl w:ilvl="0" w:tentative="0">
      <w:start w:val="1"/>
      <w:numFmt w:val="chineseCounting"/>
      <w:suff w:val="nothing"/>
      <w:lvlText w:val="%1、"/>
      <w:lvlJc w:val="left"/>
      <w:rPr>
        <w:rFonts w:hint="eastAsia"/>
      </w:rPr>
    </w:lvl>
  </w:abstractNum>
  <w:abstractNum w:abstractNumId="1">
    <w:nsid w:val="46F10BA1"/>
    <w:multiLevelType w:val="singleLevel"/>
    <w:tmpl w:val="46F10BA1"/>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3NmY2MDVlZTQwZjk0OWIyNmEzZjNjMzg5NmJjYzAifQ=="/>
  </w:docVars>
  <w:rsids>
    <w:rsidRoot w:val="00565C1C"/>
    <w:rsid w:val="0000181C"/>
    <w:rsid w:val="0001079E"/>
    <w:rsid w:val="0001251D"/>
    <w:rsid w:val="00032401"/>
    <w:rsid w:val="0004542D"/>
    <w:rsid w:val="000826BA"/>
    <w:rsid w:val="000864B1"/>
    <w:rsid w:val="00094139"/>
    <w:rsid w:val="000A39C8"/>
    <w:rsid w:val="000B0D52"/>
    <w:rsid w:val="000C2182"/>
    <w:rsid w:val="000C4A42"/>
    <w:rsid w:val="000D14C9"/>
    <w:rsid w:val="000E78CD"/>
    <w:rsid w:val="000F5BE1"/>
    <w:rsid w:val="00101FD9"/>
    <w:rsid w:val="00115F75"/>
    <w:rsid w:val="00120473"/>
    <w:rsid w:val="001325E4"/>
    <w:rsid w:val="00140EDF"/>
    <w:rsid w:val="00141290"/>
    <w:rsid w:val="0015552E"/>
    <w:rsid w:val="00155A55"/>
    <w:rsid w:val="001614D6"/>
    <w:rsid w:val="00163911"/>
    <w:rsid w:val="00164761"/>
    <w:rsid w:val="001840A6"/>
    <w:rsid w:val="00193ADD"/>
    <w:rsid w:val="0019602A"/>
    <w:rsid w:val="001A225A"/>
    <w:rsid w:val="001A26EF"/>
    <w:rsid w:val="001A56C3"/>
    <w:rsid w:val="001A7495"/>
    <w:rsid w:val="001C25ED"/>
    <w:rsid w:val="001C4FDE"/>
    <w:rsid w:val="001E20EB"/>
    <w:rsid w:val="001F668C"/>
    <w:rsid w:val="002000C9"/>
    <w:rsid w:val="00200645"/>
    <w:rsid w:val="00200E95"/>
    <w:rsid w:val="002106AE"/>
    <w:rsid w:val="002333D0"/>
    <w:rsid w:val="00236F24"/>
    <w:rsid w:val="002426F8"/>
    <w:rsid w:val="00245C1B"/>
    <w:rsid w:val="002463A2"/>
    <w:rsid w:val="0026168E"/>
    <w:rsid w:val="002629FD"/>
    <w:rsid w:val="00277C63"/>
    <w:rsid w:val="00280069"/>
    <w:rsid w:val="002960F4"/>
    <w:rsid w:val="002B5383"/>
    <w:rsid w:val="003006D1"/>
    <w:rsid w:val="00320D18"/>
    <w:rsid w:val="00333F38"/>
    <w:rsid w:val="00336207"/>
    <w:rsid w:val="00344CC1"/>
    <w:rsid w:val="003457D4"/>
    <w:rsid w:val="003627D2"/>
    <w:rsid w:val="00373A0A"/>
    <w:rsid w:val="003949E9"/>
    <w:rsid w:val="003959EB"/>
    <w:rsid w:val="003C000F"/>
    <w:rsid w:val="003E50C2"/>
    <w:rsid w:val="003F1D03"/>
    <w:rsid w:val="003F78AF"/>
    <w:rsid w:val="004147FF"/>
    <w:rsid w:val="004167B5"/>
    <w:rsid w:val="00416CFE"/>
    <w:rsid w:val="00421C0D"/>
    <w:rsid w:val="004256E5"/>
    <w:rsid w:val="004327E3"/>
    <w:rsid w:val="004377F0"/>
    <w:rsid w:val="00447FC6"/>
    <w:rsid w:val="00465C82"/>
    <w:rsid w:val="0047608B"/>
    <w:rsid w:val="0048270C"/>
    <w:rsid w:val="00483520"/>
    <w:rsid w:val="00490D3B"/>
    <w:rsid w:val="004A544A"/>
    <w:rsid w:val="004B0845"/>
    <w:rsid w:val="004B3880"/>
    <w:rsid w:val="004D0030"/>
    <w:rsid w:val="004F55E5"/>
    <w:rsid w:val="00502EFB"/>
    <w:rsid w:val="005215D1"/>
    <w:rsid w:val="005255AE"/>
    <w:rsid w:val="005256BE"/>
    <w:rsid w:val="005358F0"/>
    <w:rsid w:val="0055388C"/>
    <w:rsid w:val="00554255"/>
    <w:rsid w:val="00562C58"/>
    <w:rsid w:val="00565A28"/>
    <w:rsid w:val="00565C1C"/>
    <w:rsid w:val="00570B07"/>
    <w:rsid w:val="00590BCB"/>
    <w:rsid w:val="00595947"/>
    <w:rsid w:val="005A2E97"/>
    <w:rsid w:val="005B370A"/>
    <w:rsid w:val="005B43CD"/>
    <w:rsid w:val="005D633A"/>
    <w:rsid w:val="005E174D"/>
    <w:rsid w:val="00613FA4"/>
    <w:rsid w:val="00615AF9"/>
    <w:rsid w:val="0061710E"/>
    <w:rsid w:val="0065174D"/>
    <w:rsid w:val="00691610"/>
    <w:rsid w:val="006928DA"/>
    <w:rsid w:val="006A59B6"/>
    <w:rsid w:val="006B3810"/>
    <w:rsid w:val="006C3D98"/>
    <w:rsid w:val="006C46C3"/>
    <w:rsid w:val="006C612C"/>
    <w:rsid w:val="006D3CEC"/>
    <w:rsid w:val="006D5654"/>
    <w:rsid w:val="006E22FC"/>
    <w:rsid w:val="006F0495"/>
    <w:rsid w:val="006F183A"/>
    <w:rsid w:val="00707639"/>
    <w:rsid w:val="007079CF"/>
    <w:rsid w:val="00710A89"/>
    <w:rsid w:val="00720A02"/>
    <w:rsid w:val="00725546"/>
    <w:rsid w:val="007305BF"/>
    <w:rsid w:val="00734BC9"/>
    <w:rsid w:val="007511BD"/>
    <w:rsid w:val="00754C0B"/>
    <w:rsid w:val="0075714E"/>
    <w:rsid w:val="00786A7E"/>
    <w:rsid w:val="00797885"/>
    <w:rsid w:val="007C1600"/>
    <w:rsid w:val="007C7FB4"/>
    <w:rsid w:val="007D7FF6"/>
    <w:rsid w:val="007F461B"/>
    <w:rsid w:val="00823200"/>
    <w:rsid w:val="00824416"/>
    <w:rsid w:val="00826891"/>
    <w:rsid w:val="008415AE"/>
    <w:rsid w:val="00841EB4"/>
    <w:rsid w:val="00847622"/>
    <w:rsid w:val="00854E5C"/>
    <w:rsid w:val="008633F9"/>
    <w:rsid w:val="0086393B"/>
    <w:rsid w:val="0087113D"/>
    <w:rsid w:val="00884BAA"/>
    <w:rsid w:val="008902E3"/>
    <w:rsid w:val="00890E4D"/>
    <w:rsid w:val="008A1762"/>
    <w:rsid w:val="008B75EF"/>
    <w:rsid w:val="008D693A"/>
    <w:rsid w:val="00900FAD"/>
    <w:rsid w:val="00911164"/>
    <w:rsid w:val="00920934"/>
    <w:rsid w:val="00924880"/>
    <w:rsid w:val="009262BF"/>
    <w:rsid w:val="00926E5C"/>
    <w:rsid w:val="00930C02"/>
    <w:rsid w:val="00931CCF"/>
    <w:rsid w:val="00932C79"/>
    <w:rsid w:val="0094410F"/>
    <w:rsid w:val="009501CF"/>
    <w:rsid w:val="00960B39"/>
    <w:rsid w:val="00964F31"/>
    <w:rsid w:val="00983658"/>
    <w:rsid w:val="00986B85"/>
    <w:rsid w:val="009913D1"/>
    <w:rsid w:val="009A3CA5"/>
    <w:rsid w:val="009A5FBA"/>
    <w:rsid w:val="009A72DE"/>
    <w:rsid w:val="009A77E7"/>
    <w:rsid w:val="009C6849"/>
    <w:rsid w:val="009C7223"/>
    <w:rsid w:val="009D5BBE"/>
    <w:rsid w:val="009E06FB"/>
    <w:rsid w:val="009E1B42"/>
    <w:rsid w:val="009E1E68"/>
    <w:rsid w:val="009E32DA"/>
    <w:rsid w:val="009E3590"/>
    <w:rsid w:val="009F53CC"/>
    <w:rsid w:val="009F7EAA"/>
    <w:rsid w:val="00A06280"/>
    <w:rsid w:val="00A06DB7"/>
    <w:rsid w:val="00A15B1F"/>
    <w:rsid w:val="00A15CD4"/>
    <w:rsid w:val="00A27F38"/>
    <w:rsid w:val="00A464A0"/>
    <w:rsid w:val="00A51EB4"/>
    <w:rsid w:val="00A62137"/>
    <w:rsid w:val="00A636A9"/>
    <w:rsid w:val="00A66616"/>
    <w:rsid w:val="00A718E4"/>
    <w:rsid w:val="00A7663B"/>
    <w:rsid w:val="00A82E03"/>
    <w:rsid w:val="00A841F2"/>
    <w:rsid w:val="00A85B66"/>
    <w:rsid w:val="00A86810"/>
    <w:rsid w:val="00A874B0"/>
    <w:rsid w:val="00AA30CE"/>
    <w:rsid w:val="00AA68C6"/>
    <w:rsid w:val="00AB2698"/>
    <w:rsid w:val="00AB6225"/>
    <w:rsid w:val="00AB6462"/>
    <w:rsid w:val="00AB7DD9"/>
    <w:rsid w:val="00AC20DA"/>
    <w:rsid w:val="00AC4D77"/>
    <w:rsid w:val="00AE2090"/>
    <w:rsid w:val="00AF219E"/>
    <w:rsid w:val="00B029F8"/>
    <w:rsid w:val="00B1466D"/>
    <w:rsid w:val="00B226DD"/>
    <w:rsid w:val="00B227EF"/>
    <w:rsid w:val="00B372C1"/>
    <w:rsid w:val="00B42A41"/>
    <w:rsid w:val="00B46936"/>
    <w:rsid w:val="00B47652"/>
    <w:rsid w:val="00B517F3"/>
    <w:rsid w:val="00B81442"/>
    <w:rsid w:val="00B8797A"/>
    <w:rsid w:val="00BA5491"/>
    <w:rsid w:val="00BB6FEA"/>
    <w:rsid w:val="00BC6AFE"/>
    <w:rsid w:val="00BD0C13"/>
    <w:rsid w:val="00BD12D5"/>
    <w:rsid w:val="00BE04BE"/>
    <w:rsid w:val="00BE1607"/>
    <w:rsid w:val="00BE5CD4"/>
    <w:rsid w:val="00BF552F"/>
    <w:rsid w:val="00BF6F84"/>
    <w:rsid w:val="00C07FFC"/>
    <w:rsid w:val="00C10758"/>
    <w:rsid w:val="00C13CA1"/>
    <w:rsid w:val="00C23FB0"/>
    <w:rsid w:val="00C40553"/>
    <w:rsid w:val="00C67E29"/>
    <w:rsid w:val="00CB6DFA"/>
    <w:rsid w:val="00CB7EF7"/>
    <w:rsid w:val="00CC0561"/>
    <w:rsid w:val="00D063A0"/>
    <w:rsid w:val="00D16101"/>
    <w:rsid w:val="00D25851"/>
    <w:rsid w:val="00D34210"/>
    <w:rsid w:val="00D479A1"/>
    <w:rsid w:val="00D67694"/>
    <w:rsid w:val="00D67DCB"/>
    <w:rsid w:val="00D755A4"/>
    <w:rsid w:val="00D80E5B"/>
    <w:rsid w:val="00DA2DAE"/>
    <w:rsid w:val="00DB13CA"/>
    <w:rsid w:val="00DB79B8"/>
    <w:rsid w:val="00DB7D12"/>
    <w:rsid w:val="00DD5844"/>
    <w:rsid w:val="00DE605E"/>
    <w:rsid w:val="00DF037F"/>
    <w:rsid w:val="00E003B3"/>
    <w:rsid w:val="00E178C4"/>
    <w:rsid w:val="00E17E4D"/>
    <w:rsid w:val="00E2547B"/>
    <w:rsid w:val="00E3001B"/>
    <w:rsid w:val="00E50F25"/>
    <w:rsid w:val="00E516D3"/>
    <w:rsid w:val="00E519B8"/>
    <w:rsid w:val="00E54C6A"/>
    <w:rsid w:val="00E629C2"/>
    <w:rsid w:val="00E93913"/>
    <w:rsid w:val="00EB2B14"/>
    <w:rsid w:val="00EB2D77"/>
    <w:rsid w:val="00ED4FC9"/>
    <w:rsid w:val="00EE127F"/>
    <w:rsid w:val="00EE5977"/>
    <w:rsid w:val="00F04F2C"/>
    <w:rsid w:val="00F100AA"/>
    <w:rsid w:val="00F2032E"/>
    <w:rsid w:val="00F22D62"/>
    <w:rsid w:val="00F43AAA"/>
    <w:rsid w:val="00F46189"/>
    <w:rsid w:val="00F5303C"/>
    <w:rsid w:val="00F70287"/>
    <w:rsid w:val="00F72187"/>
    <w:rsid w:val="00FC5B65"/>
    <w:rsid w:val="00FC7BE3"/>
    <w:rsid w:val="00FE1942"/>
    <w:rsid w:val="00FE7689"/>
    <w:rsid w:val="01040144"/>
    <w:rsid w:val="01080A12"/>
    <w:rsid w:val="01FF0067"/>
    <w:rsid w:val="025609EC"/>
    <w:rsid w:val="026E0BFB"/>
    <w:rsid w:val="02EA07A8"/>
    <w:rsid w:val="03126FB1"/>
    <w:rsid w:val="03C9097D"/>
    <w:rsid w:val="03ED63A9"/>
    <w:rsid w:val="040B3B77"/>
    <w:rsid w:val="04230336"/>
    <w:rsid w:val="04D028D6"/>
    <w:rsid w:val="04FA4B16"/>
    <w:rsid w:val="051C055B"/>
    <w:rsid w:val="05C018BB"/>
    <w:rsid w:val="05E355AA"/>
    <w:rsid w:val="06220BE3"/>
    <w:rsid w:val="06BA7D3D"/>
    <w:rsid w:val="06FC4B75"/>
    <w:rsid w:val="08687E01"/>
    <w:rsid w:val="08776180"/>
    <w:rsid w:val="08855EA9"/>
    <w:rsid w:val="08A27146"/>
    <w:rsid w:val="08F8136C"/>
    <w:rsid w:val="099836F7"/>
    <w:rsid w:val="0ACF6C46"/>
    <w:rsid w:val="0AD32091"/>
    <w:rsid w:val="0B462863"/>
    <w:rsid w:val="0B687D71"/>
    <w:rsid w:val="0B7B34D1"/>
    <w:rsid w:val="0C2C7CAB"/>
    <w:rsid w:val="0C4F3999"/>
    <w:rsid w:val="0CAB07DD"/>
    <w:rsid w:val="0CC14DA4"/>
    <w:rsid w:val="0CC858DB"/>
    <w:rsid w:val="0D437156"/>
    <w:rsid w:val="0D586D8E"/>
    <w:rsid w:val="0D836D81"/>
    <w:rsid w:val="0D86163D"/>
    <w:rsid w:val="0E7C47EE"/>
    <w:rsid w:val="0F2F5EAF"/>
    <w:rsid w:val="0F4A0448"/>
    <w:rsid w:val="0F657030"/>
    <w:rsid w:val="0FB6788B"/>
    <w:rsid w:val="0FB71F81"/>
    <w:rsid w:val="10B82041"/>
    <w:rsid w:val="10E103FD"/>
    <w:rsid w:val="119E2A34"/>
    <w:rsid w:val="12191CC1"/>
    <w:rsid w:val="128879FC"/>
    <w:rsid w:val="128F1383"/>
    <w:rsid w:val="134358DA"/>
    <w:rsid w:val="13E35AF5"/>
    <w:rsid w:val="14641C7C"/>
    <w:rsid w:val="159A20A5"/>
    <w:rsid w:val="168E3310"/>
    <w:rsid w:val="16B20DAC"/>
    <w:rsid w:val="16D9191F"/>
    <w:rsid w:val="186C26F2"/>
    <w:rsid w:val="18F76ADB"/>
    <w:rsid w:val="19184305"/>
    <w:rsid w:val="195801F6"/>
    <w:rsid w:val="19924659"/>
    <w:rsid w:val="199724DC"/>
    <w:rsid w:val="19D159ED"/>
    <w:rsid w:val="1BC81072"/>
    <w:rsid w:val="1BC84A2D"/>
    <w:rsid w:val="1BD272D2"/>
    <w:rsid w:val="1C2072E4"/>
    <w:rsid w:val="1C821221"/>
    <w:rsid w:val="1DA06E3F"/>
    <w:rsid w:val="1DAD1F8D"/>
    <w:rsid w:val="1E396257"/>
    <w:rsid w:val="1E3E5BF3"/>
    <w:rsid w:val="1E7B68EC"/>
    <w:rsid w:val="1E805C34"/>
    <w:rsid w:val="1E84774B"/>
    <w:rsid w:val="1F1F369F"/>
    <w:rsid w:val="1F33517C"/>
    <w:rsid w:val="1F42113B"/>
    <w:rsid w:val="1F576995"/>
    <w:rsid w:val="20337188"/>
    <w:rsid w:val="20407429"/>
    <w:rsid w:val="20580C17"/>
    <w:rsid w:val="2152118B"/>
    <w:rsid w:val="21A63C04"/>
    <w:rsid w:val="21C536B6"/>
    <w:rsid w:val="21D956E4"/>
    <w:rsid w:val="22C32593"/>
    <w:rsid w:val="231D36E0"/>
    <w:rsid w:val="239674A8"/>
    <w:rsid w:val="23E34C9B"/>
    <w:rsid w:val="246B4C91"/>
    <w:rsid w:val="25082020"/>
    <w:rsid w:val="25D85D70"/>
    <w:rsid w:val="268363E6"/>
    <w:rsid w:val="271714C0"/>
    <w:rsid w:val="278A7DDB"/>
    <w:rsid w:val="28265FD1"/>
    <w:rsid w:val="29006349"/>
    <w:rsid w:val="291833B1"/>
    <w:rsid w:val="2940493E"/>
    <w:rsid w:val="298C36DF"/>
    <w:rsid w:val="29D64538"/>
    <w:rsid w:val="2A2E0C3A"/>
    <w:rsid w:val="2A95678F"/>
    <w:rsid w:val="2AD400D5"/>
    <w:rsid w:val="2B215B96"/>
    <w:rsid w:val="2BD6715A"/>
    <w:rsid w:val="2C602376"/>
    <w:rsid w:val="2CB03B88"/>
    <w:rsid w:val="2CED72D0"/>
    <w:rsid w:val="2D0B2859"/>
    <w:rsid w:val="2D1C7470"/>
    <w:rsid w:val="2D2737FC"/>
    <w:rsid w:val="2E397442"/>
    <w:rsid w:val="2EFD45B1"/>
    <w:rsid w:val="2F77513E"/>
    <w:rsid w:val="303E2DEA"/>
    <w:rsid w:val="304B6BD0"/>
    <w:rsid w:val="30B9756B"/>
    <w:rsid w:val="31003AAA"/>
    <w:rsid w:val="322635BA"/>
    <w:rsid w:val="32471DFD"/>
    <w:rsid w:val="32A47CEB"/>
    <w:rsid w:val="33484B1B"/>
    <w:rsid w:val="33E24718"/>
    <w:rsid w:val="33E55C2C"/>
    <w:rsid w:val="34367069"/>
    <w:rsid w:val="34817E59"/>
    <w:rsid w:val="34BB3083"/>
    <w:rsid w:val="34BD32E6"/>
    <w:rsid w:val="351E132B"/>
    <w:rsid w:val="36044D65"/>
    <w:rsid w:val="367671B6"/>
    <w:rsid w:val="369F6181"/>
    <w:rsid w:val="36BA498A"/>
    <w:rsid w:val="36EE3C2B"/>
    <w:rsid w:val="370E1BD7"/>
    <w:rsid w:val="37A825C8"/>
    <w:rsid w:val="38305B3C"/>
    <w:rsid w:val="38583D70"/>
    <w:rsid w:val="39414647"/>
    <w:rsid w:val="398664FD"/>
    <w:rsid w:val="3997026A"/>
    <w:rsid w:val="39B0341A"/>
    <w:rsid w:val="3A667F7C"/>
    <w:rsid w:val="3A790F5B"/>
    <w:rsid w:val="3AB807D8"/>
    <w:rsid w:val="3B2C7D89"/>
    <w:rsid w:val="3B8D076B"/>
    <w:rsid w:val="3C02606F"/>
    <w:rsid w:val="3C2B4FD9"/>
    <w:rsid w:val="3DEA67CE"/>
    <w:rsid w:val="3E173448"/>
    <w:rsid w:val="3E1D6BA4"/>
    <w:rsid w:val="3E780F05"/>
    <w:rsid w:val="3EAF0C25"/>
    <w:rsid w:val="3F431BC8"/>
    <w:rsid w:val="3F554220"/>
    <w:rsid w:val="3F6A52FC"/>
    <w:rsid w:val="3FD54443"/>
    <w:rsid w:val="40BC6B48"/>
    <w:rsid w:val="418764EB"/>
    <w:rsid w:val="41A01FC6"/>
    <w:rsid w:val="41C256B5"/>
    <w:rsid w:val="428552BC"/>
    <w:rsid w:val="42BF5744"/>
    <w:rsid w:val="42C256EF"/>
    <w:rsid w:val="43192030"/>
    <w:rsid w:val="43675A04"/>
    <w:rsid w:val="43C35BF6"/>
    <w:rsid w:val="441F0A36"/>
    <w:rsid w:val="447B63D2"/>
    <w:rsid w:val="456564C1"/>
    <w:rsid w:val="45711364"/>
    <w:rsid w:val="462907DC"/>
    <w:rsid w:val="48DD6905"/>
    <w:rsid w:val="4982499A"/>
    <w:rsid w:val="49892DB7"/>
    <w:rsid w:val="49935D8F"/>
    <w:rsid w:val="49944DB5"/>
    <w:rsid w:val="4A7E6C1C"/>
    <w:rsid w:val="4B0715F7"/>
    <w:rsid w:val="4B1106D2"/>
    <w:rsid w:val="4BA87334"/>
    <w:rsid w:val="4BB20584"/>
    <w:rsid w:val="4D0D7B68"/>
    <w:rsid w:val="4D8E7176"/>
    <w:rsid w:val="4DBE471D"/>
    <w:rsid w:val="4DFD7553"/>
    <w:rsid w:val="4E1E674C"/>
    <w:rsid w:val="4E22331B"/>
    <w:rsid w:val="4E3036C6"/>
    <w:rsid w:val="4F1D2EA8"/>
    <w:rsid w:val="4F7F342D"/>
    <w:rsid w:val="4FAE6583"/>
    <w:rsid w:val="500F024D"/>
    <w:rsid w:val="501A2DC3"/>
    <w:rsid w:val="50213221"/>
    <w:rsid w:val="50477021"/>
    <w:rsid w:val="514F70CF"/>
    <w:rsid w:val="5164091A"/>
    <w:rsid w:val="52960822"/>
    <w:rsid w:val="52AF18EF"/>
    <w:rsid w:val="52FB3500"/>
    <w:rsid w:val="531760C4"/>
    <w:rsid w:val="53310CD0"/>
    <w:rsid w:val="5334431C"/>
    <w:rsid w:val="53B76565"/>
    <w:rsid w:val="53E9157A"/>
    <w:rsid w:val="55006BAB"/>
    <w:rsid w:val="550B6434"/>
    <w:rsid w:val="553E3E9A"/>
    <w:rsid w:val="55626E01"/>
    <w:rsid w:val="55E42029"/>
    <w:rsid w:val="57C25403"/>
    <w:rsid w:val="57CD0D9F"/>
    <w:rsid w:val="58497726"/>
    <w:rsid w:val="58C21213"/>
    <w:rsid w:val="58F509F1"/>
    <w:rsid w:val="58FB67C7"/>
    <w:rsid w:val="590C2A62"/>
    <w:rsid w:val="5918699C"/>
    <w:rsid w:val="591E36A0"/>
    <w:rsid w:val="5A2B5127"/>
    <w:rsid w:val="5A4D7E04"/>
    <w:rsid w:val="5AC95C92"/>
    <w:rsid w:val="5B127639"/>
    <w:rsid w:val="5B606B8E"/>
    <w:rsid w:val="5B9E7669"/>
    <w:rsid w:val="5BFF66C4"/>
    <w:rsid w:val="5C1D0DC4"/>
    <w:rsid w:val="5C4C0928"/>
    <w:rsid w:val="5C7874A8"/>
    <w:rsid w:val="5D844999"/>
    <w:rsid w:val="5D9B7577"/>
    <w:rsid w:val="5DF34ADB"/>
    <w:rsid w:val="5E4C2E61"/>
    <w:rsid w:val="6006650E"/>
    <w:rsid w:val="62C21944"/>
    <w:rsid w:val="62CD2196"/>
    <w:rsid w:val="63422A85"/>
    <w:rsid w:val="635B2D1A"/>
    <w:rsid w:val="637569B7"/>
    <w:rsid w:val="63BF0EBF"/>
    <w:rsid w:val="63CD67F3"/>
    <w:rsid w:val="64846D27"/>
    <w:rsid w:val="65271F32"/>
    <w:rsid w:val="65743321"/>
    <w:rsid w:val="665D1A5C"/>
    <w:rsid w:val="6661253C"/>
    <w:rsid w:val="66A1217D"/>
    <w:rsid w:val="66B1293E"/>
    <w:rsid w:val="66BB6DD6"/>
    <w:rsid w:val="66C25C8D"/>
    <w:rsid w:val="681A28DF"/>
    <w:rsid w:val="681C3602"/>
    <w:rsid w:val="683230C8"/>
    <w:rsid w:val="68350126"/>
    <w:rsid w:val="688D32E4"/>
    <w:rsid w:val="68D4417F"/>
    <w:rsid w:val="68F127B1"/>
    <w:rsid w:val="691326B8"/>
    <w:rsid w:val="6A175BDB"/>
    <w:rsid w:val="6AAF0A00"/>
    <w:rsid w:val="6B522F2C"/>
    <w:rsid w:val="6BAA566B"/>
    <w:rsid w:val="6C021657"/>
    <w:rsid w:val="6C0B610A"/>
    <w:rsid w:val="6C892519"/>
    <w:rsid w:val="6CA125CA"/>
    <w:rsid w:val="6CCB26FF"/>
    <w:rsid w:val="6CCB3AEB"/>
    <w:rsid w:val="6CF058E3"/>
    <w:rsid w:val="6D260D22"/>
    <w:rsid w:val="6D50469D"/>
    <w:rsid w:val="6E3015B8"/>
    <w:rsid w:val="6E597DC9"/>
    <w:rsid w:val="6EC9405A"/>
    <w:rsid w:val="6EF41923"/>
    <w:rsid w:val="6F725BBB"/>
    <w:rsid w:val="6F827D89"/>
    <w:rsid w:val="6FF02FF0"/>
    <w:rsid w:val="71DF2736"/>
    <w:rsid w:val="726A7902"/>
    <w:rsid w:val="72D94755"/>
    <w:rsid w:val="73C2386D"/>
    <w:rsid w:val="73FE6554"/>
    <w:rsid w:val="74515571"/>
    <w:rsid w:val="746A059A"/>
    <w:rsid w:val="74A963E3"/>
    <w:rsid w:val="74F51705"/>
    <w:rsid w:val="74F579BD"/>
    <w:rsid w:val="752B15CB"/>
    <w:rsid w:val="753541F8"/>
    <w:rsid w:val="75790299"/>
    <w:rsid w:val="757B3E57"/>
    <w:rsid w:val="758D4034"/>
    <w:rsid w:val="75EF25F8"/>
    <w:rsid w:val="762824C8"/>
    <w:rsid w:val="762C7478"/>
    <w:rsid w:val="76504319"/>
    <w:rsid w:val="766B372C"/>
    <w:rsid w:val="76D86242"/>
    <w:rsid w:val="76E56E2D"/>
    <w:rsid w:val="776433A4"/>
    <w:rsid w:val="777234E1"/>
    <w:rsid w:val="77AA64E8"/>
    <w:rsid w:val="780A7EB8"/>
    <w:rsid w:val="79027327"/>
    <w:rsid w:val="79725C7F"/>
    <w:rsid w:val="7B760716"/>
    <w:rsid w:val="7B915F00"/>
    <w:rsid w:val="7BAE260E"/>
    <w:rsid w:val="7BD45065"/>
    <w:rsid w:val="7C25340B"/>
    <w:rsid w:val="7C596E5F"/>
    <w:rsid w:val="7C9D2BE0"/>
    <w:rsid w:val="7CB9530A"/>
    <w:rsid w:val="7CD442F6"/>
    <w:rsid w:val="7D356BD2"/>
    <w:rsid w:val="7D4F7031"/>
    <w:rsid w:val="7E0A2F2D"/>
    <w:rsid w:val="7EC9775F"/>
    <w:rsid w:val="7F5D6E6B"/>
    <w:rsid w:val="7FAD1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0"/>
    <w:autoRedefine/>
    <w:semiHidden/>
    <w:unhideWhenUsed/>
    <w:qFormat/>
    <w:uiPriority w:val="99"/>
    <w:pPr>
      <w:jc w:val="left"/>
    </w:pPr>
  </w:style>
  <w:style w:type="paragraph" w:styleId="4">
    <w:name w:val="Balloon Text"/>
    <w:basedOn w:val="1"/>
    <w:link w:val="19"/>
    <w:autoRedefine/>
    <w:semiHidden/>
    <w:unhideWhenUsed/>
    <w:qFormat/>
    <w:uiPriority w:val="99"/>
    <w:rPr>
      <w:sz w:val="18"/>
      <w:szCs w:val="18"/>
    </w:rPr>
  </w:style>
  <w:style w:type="paragraph" w:styleId="5">
    <w:name w:val="footer"/>
    <w:basedOn w:val="1"/>
    <w:link w:val="16"/>
    <w:autoRedefine/>
    <w:unhideWhenUsed/>
    <w:qFormat/>
    <w:uiPriority w:val="99"/>
    <w:pPr>
      <w:tabs>
        <w:tab w:val="center" w:pos="4153"/>
        <w:tab w:val="right" w:pos="8306"/>
      </w:tabs>
      <w:snapToGrid w:val="0"/>
      <w:jc w:val="left"/>
    </w:pPr>
    <w:rPr>
      <w:sz w:val="18"/>
      <w:szCs w:val="18"/>
    </w:rPr>
  </w:style>
  <w:style w:type="paragraph" w:styleId="6">
    <w:name w:val="header"/>
    <w:basedOn w:val="1"/>
    <w:link w:val="1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spacing w:before="100" w:beforeAutospacing="1" w:after="100" w:afterAutospacing="1"/>
      <w:jc w:val="left"/>
    </w:pPr>
    <w:rPr>
      <w:kern w:val="0"/>
      <w:sz w:val="24"/>
    </w:rPr>
  </w:style>
  <w:style w:type="paragraph" w:styleId="8">
    <w:name w:val="annotation subject"/>
    <w:basedOn w:val="3"/>
    <w:next w:val="3"/>
    <w:link w:val="21"/>
    <w:autoRedefine/>
    <w:semiHidden/>
    <w:unhideWhenUsed/>
    <w:qFormat/>
    <w:uiPriority w:val="99"/>
    <w:rPr>
      <w:b/>
      <w:bCs/>
    </w:rPr>
  </w:style>
  <w:style w:type="table" w:styleId="10">
    <w:name w:val="Table Grid"/>
    <w:basedOn w:val="9"/>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basedOn w:val="11"/>
    <w:autoRedefine/>
    <w:unhideWhenUsed/>
    <w:qFormat/>
    <w:uiPriority w:val="99"/>
    <w:rPr>
      <w:color w:val="0000FF" w:themeColor="hyperlink"/>
      <w:u w:val="single"/>
      <w14:textFill>
        <w14:solidFill>
          <w14:schemeClr w14:val="hlink"/>
        </w14:solidFill>
      </w14:textFill>
    </w:rPr>
  </w:style>
  <w:style w:type="character" w:styleId="14">
    <w:name w:val="annotation reference"/>
    <w:basedOn w:val="11"/>
    <w:autoRedefine/>
    <w:semiHidden/>
    <w:unhideWhenUsed/>
    <w:qFormat/>
    <w:uiPriority w:val="99"/>
    <w:rPr>
      <w:sz w:val="21"/>
      <w:szCs w:val="21"/>
    </w:rPr>
  </w:style>
  <w:style w:type="character" w:customStyle="1" w:styleId="15">
    <w:name w:val="页眉 字符"/>
    <w:basedOn w:val="11"/>
    <w:link w:val="6"/>
    <w:autoRedefine/>
    <w:qFormat/>
    <w:uiPriority w:val="99"/>
    <w:rPr>
      <w:sz w:val="18"/>
      <w:szCs w:val="18"/>
    </w:rPr>
  </w:style>
  <w:style w:type="character" w:customStyle="1" w:styleId="16">
    <w:name w:val="页脚 字符"/>
    <w:basedOn w:val="11"/>
    <w:link w:val="5"/>
    <w:autoRedefine/>
    <w:qFormat/>
    <w:uiPriority w:val="99"/>
    <w:rPr>
      <w:sz w:val="18"/>
      <w:szCs w:val="18"/>
    </w:rPr>
  </w:style>
  <w:style w:type="paragraph" w:customStyle="1" w:styleId="17">
    <w:name w:val="教育部3"/>
    <w:basedOn w:val="1"/>
    <w:autoRedefine/>
    <w:qFormat/>
    <w:uiPriority w:val="0"/>
    <w:pPr>
      <w:widowControl/>
      <w:spacing w:line="440" w:lineRule="exact"/>
      <w:jc w:val="center"/>
    </w:pPr>
    <w:rPr>
      <w:rFonts w:ascii="方正小标宋_GBK" w:hAnsi="Times New Roman" w:eastAsia="方正小标宋_GBK" w:cs="Times New Roman"/>
      <w:bCs/>
      <w:kern w:val="0"/>
      <w:sz w:val="32"/>
      <w:szCs w:val="21"/>
    </w:rPr>
  </w:style>
  <w:style w:type="paragraph" w:styleId="18">
    <w:name w:val="List Paragraph"/>
    <w:basedOn w:val="1"/>
    <w:autoRedefine/>
    <w:qFormat/>
    <w:uiPriority w:val="34"/>
    <w:pPr>
      <w:ind w:firstLine="420" w:firstLineChars="200"/>
    </w:pPr>
  </w:style>
  <w:style w:type="character" w:customStyle="1" w:styleId="19">
    <w:name w:val="批注框文本 字符"/>
    <w:basedOn w:val="11"/>
    <w:link w:val="4"/>
    <w:autoRedefine/>
    <w:semiHidden/>
    <w:qFormat/>
    <w:uiPriority w:val="99"/>
    <w:rPr>
      <w:sz w:val="18"/>
      <w:szCs w:val="18"/>
    </w:rPr>
  </w:style>
  <w:style w:type="character" w:customStyle="1" w:styleId="20">
    <w:name w:val="批注文字 字符"/>
    <w:basedOn w:val="11"/>
    <w:link w:val="3"/>
    <w:autoRedefine/>
    <w:semiHidden/>
    <w:qFormat/>
    <w:uiPriority w:val="99"/>
  </w:style>
  <w:style w:type="character" w:customStyle="1" w:styleId="21">
    <w:name w:val="批注主题 字符"/>
    <w:basedOn w:val="20"/>
    <w:link w:val="8"/>
    <w:autoRedefine/>
    <w:semiHidden/>
    <w:qFormat/>
    <w:uiPriority w:val="99"/>
    <w:rPr>
      <w:b/>
      <w:bCs/>
    </w:rPr>
  </w:style>
  <w:style w:type="character" w:customStyle="1" w:styleId="22">
    <w:name w:val="未处理的提及1"/>
    <w:basedOn w:val="11"/>
    <w:autoRedefine/>
    <w:semiHidden/>
    <w:unhideWhenUsed/>
    <w:qFormat/>
    <w:uiPriority w:val="99"/>
    <w:rPr>
      <w:color w:val="605E5C"/>
      <w:shd w:val="clear" w:color="auto" w:fill="E1DFDD"/>
    </w:rPr>
  </w:style>
  <w:style w:type="paragraph" w:customStyle="1" w:styleId="23">
    <w:name w:val="样式1"/>
    <w:basedOn w:val="1"/>
    <w:link w:val="24"/>
    <w:qFormat/>
    <w:uiPriority w:val="0"/>
    <w:pPr>
      <w:spacing w:line="500" w:lineRule="exact"/>
      <w:ind w:firstLine="560" w:firstLineChars="200"/>
    </w:pPr>
    <w:rPr>
      <w:rFonts w:hint="eastAsia" w:ascii="宋体" w:hAnsi="宋体" w:eastAsia="宋体" w:cs="仿宋"/>
      <w:sz w:val="24"/>
      <w:szCs w:val="28"/>
    </w:rPr>
  </w:style>
  <w:style w:type="character" w:customStyle="1" w:styleId="24">
    <w:name w:val="样式1 Char"/>
    <w:link w:val="23"/>
    <w:qFormat/>
    <w:uiPriority w:val="0"/>
    <w:rPr>
      <w:rFonts w:hint="eastAsia" w:ascii="宋体" w:hAnsi="宋体" w:eastAsia="宋体" w:cs="仿宋"/>
      <w:sz w:val="24"/>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2963</Words>
  <Characters>3122</Characters>
  <Lines>27</Lines>
  <Paragraphs>7</Paragraphs>
  <TotalTime>4</TotalTime>
  <ScaleCrop>false</ScaleCrop>
  <LinksUpToDate>false</LinksUpToDate>
  <CharactersWithSpaces>3127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2021-03-08T07:10:00Z</dcterms:created>
  <dc:creator>曹华山</dc:creator>
  <cp:lastModifiedBy>阳桂兰</cp:lastModifiedBy>
  <cp:lastPrinted>2025-02-17T07:10:00Z</cp:lastPrinted>
  <dcterms:modified xsi:type="dcterms:W3CDTF">2026-02-06T04:18:16Z</dcterms:modified>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2DB2C0EC3BF94D03AEEFC75272D35F4A_12</vt:lpwstr>
  </property>
</Properties>
</file>